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ANDERKO ADAM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anderkoadam@gmail.com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Kristóf Endre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Arianti Rini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LAT-1 aminosav transzporter gátlása csökkenti a humán adipociták hőtermelésének cAMP általi indukcióját ex vivo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felnőttekben is jelentős számban - főleg a mély nyaki és a paravertebrális régiókban -</w:t>
      </w:r>
      <w:r>
        <w:rPr>
          <w:color w:val="000000"/>
          <w:sz w:val="24"/>
          <w:szCs w:val="24"/>
        </w:rPr>
        <w:br/>
        <w:t xml:space="preserve">megtalálható barna adipociták hőtermelése a hideg által kiváltott szimpatikus stimulus</w:t>
      </w:r>
      <w:r>
        <w:rPr>
          <w:color w:val="000000"/>
          <w:sz w:val="24"/>
          <w:szCs w:val="24"/>
        </w:rPr>
        <w:br/>
        <w:t xml:space="preserve">hatására aktiválódik. Az ezekben a sejtekben kifejeződő mitokondriális UCP1 fehérje</w:t>
      </w:r>
      <w:r>
        <w:rPr>
          <w:color w:val="000000"/>
          <w:sz w:val="24"/>
          <w:szCs w:val="24"/>
        </w:rPr>
        <w:br/>
        <w:t xml:space="preserve">szétkapcsolja az elektron transzport-láncot és az ATP szintézist, így a tápanyagok</w:t>
      </w:r>
      <w:r>
        <w:rPr>
          <w:color w:val="000000"/>
          <w:sz w:val="24"/>
          <w:szCs w:val="24"/>
        </w:rPr>
        <w:br/>
        <w:t xml:space="preserve">oxidálásából származó energia hő formájában szabadul fel. A nem-didergéses hőtermelés</w:t>
      </w:r>
      <w:r>
        <w:rPr>
          <w:color w:val="000000"/>
          <w:sz w:val="24"/>
          <w:szCs w:val="24"/>
        </w:rPr>
        <w:br/>
        <w:t xml:space="preserve">fokozása a barna adipocitákban terápiás célpontként szolgálhat az elhízás és diabétesz elleni</w:t>
      </w:r>
      <w:r>
        <w:rPr>
          <w:color w:val="000000"/>
          <w:sz w:val="24"/>
          <w:szCs w:val="24"/>
        </w:rPr>
        <w:br/>
        <w:t xml:space="preserve">küzdelemben. Az SLC7A5 és SLC7A2 gének által kódolt LAT-1 egy heterodimer membrán</w:t>
      </w:r>
      <w:r>
        <w:rPr>
          <w:color w:val="000000"/>
          <w:sz w:val="24"/>
          <w:szCs w:val="24"/>
        </w:rPr>
        <w:br/>
        <w:t xml:space="preserve">transzport fehérje, amely elsősorban elágazó láncú és aromás esszenciális aminosavakat</w:t>
      </w:r>
      <w:r>
        <w:rPr>
          <w:color w:val="000000"/>
          <w:sz w:val="24"/>
          <w:szCs w:val="24"/>
        </w:rPr>
        <w:br/>
        <w:t xml:space="preserve">szállít.</w:t>
      </w:r>
      <w:r>
        <w:rPr>
          <w:color w:val="000000"/>
          <w:sz w:val="24"/>
          <w:szCs w:val="24"/>
        </w:rPr>
        <w:br/>
        <w:t xml:space="preserve">Munkacsoportomban sejtpermeábilis cAMP analóggal modellezték a hideg hatására</w:t>
      </w:r>
      <w:r>
        <w:rPr>
          <w:color w:val="000000"/>
          <w:sz w:val="24"/>
          <w:szCs w:val="24"/>
        </w:rPr>
        <w:br/>
        <w:t xml:space="preserve">bekövetkező szimpatikus idegrendszeri választ adipocitákban, melynek hatására nemcsak az</w:t>
      </w:r>
      <w:r>
        <w:rPr>
          <w:color w:val="000000"/>
          <w:sz w:val="24"/>
          <w:szCs w:val="24"/>
        </w:rPr>
        <w:br/>
        <w:t xml:space="preserve">UCP1 és a mitokondriumok mennyisége és aktivitása növekedett meg, hanem az SLC7A5 és</w:t>
      </w:r>
      <w:r>
        <w:rPr>
          <w:color w:val="000000"/>
          <w:sz w:val="24"/>
          <w:szCs w:val="24"/>
        </w:rPr>
        <w:br/>
        <w:t xml:space="preserve">SLC7A2 gének kifejeződése is. Ezért célul tűztük ki annak vizsgálatát, hogy a LAT-1</w:t>
      </w:r>
      <w:r>
        <w:rPr>
          <w:color w:val="000000"/>
          <w:sz w:val="24"/>
          <w:szCs w:val="24"/>
        </w:rPr>
        <w:br/>
        <w:t xml:space="preserve">farmakológiai gátlása befolyásolja-e a humán adipociták hőtermelésének szimpatikus</w:t>
      </w:r>
      <w:r>
        <w:rPr>
          <w:color w:val="000000"/>
          <w:sz w:val="24"/>
          <w:szCs w:val="24"/>
        </w:rPr>
        <w:br/>
        <w:t xml:space="preserve">stimulus általi indukcióját ex vivo.</w:t>
      </w:r>
      <w:r>
        <w:rPr>
          <w:color w:val="000000"/>
          <w:sz w:val="24"/>
          <w:szCs w:val="24"/>
        </w:rPr>
        <w:br/>
        <w:t xml:space="preserve">Primer szubkután és mély nyaki zsírszövet-eredetű sztróma sejteket hőtermelésre</w:t>
      </w:r>
      <w:r>
        <w:rPr>
          <w:color w:val="000000"/>
          <w:sz w:val="24"/>
          <w:szCs w:val="24"/>
        </w:rPr>
        <w:br/>
        <w:t xml:space="preserve">nagymértékben képes adipocitákká differenciáltattunk 14 napon át. Ezt követően,</w:t>
      </w:r>
      <w:r>
        <w:rPr>
          <w:color w:val="000000"/>
          <w:sz w:val="24"/>
          <w:szCs w:val="24"/>
        </w:rPr>
        <w:br/>
        <w:t xml:space="preserve">sejtpermeábilis cAMP kezelést alkalmaztunk 10 órán keresztül, a LAT-1 farmakológiai</w:t>
      </w:r>
      <w:r>
        <w:rPr>
          <w:color w:val="000000"/>
          <w:sz w:val="24"/>
          <w:szCs w:val="24"/>
        </w:rPr>
        <w:br/>
        <w:t xml:space="preserve">inhibitora (KYT-0353) jelenlétében vagy hiányában. A LAT-1 alegység valamint a</w:t>
      </w:r>
      <w:r>
        <w:rPr>
          <w:color w:val="000000"/>
          <w:sz w:val="24"/>
          <w:szCs w:val="24"/>
        </w:rPr>
        <w:br/>
        <w:t xml:space="preserve">termogenikus gének és fehérjék kifejeződését RT-qPCR-ral és Western-blottal határoztuk</w:t>
      </w:r>
      <w:r>
        <w:rPr>
          <w:color w:val="000000"/>
          <w:sz w:val="24"/>
          <w:szCs w:val="24"/>
        </w:rPr>
        <w:br/>
        <w:t xml:space="preserve">meg. Az adipociták oxigén fogyasztását Seahorse XF96 Extracellular Flux Analyzer</w:t>
      </w:r>
      <w:r>
        <w:rPr>
          <w:color w:val="000000"/>
          <w:sz w:val="24"/>
          <w:szCs w:val="24"/>
        </w:rPr>
        <w:br/>
        <w:t xml:space="preserve">alkalmazásával mértük.</w:t>
      </w:r>
      <w:r>
        <w:rPr>
          <w:color w:val="000000"/>
          <w:sz w:val="24"/>
          <w:szCs w:val="24"/>
        </w:rPr>
        <w:br/>
        <w:t xml:space="preserve">A cAMP kezelés hatására növekedett a hőtermelésért felelős gének (UCP1, PGC1A, DIO2,</w:t>
      </w:r>
      <w:r>
        <w:rPr>
          <w:color w:val="000000"/>
          <w:sz w:val="24"/>
          <w:szCs w:val="24"/>
        </w:rPr>
        <w:br/>
        <w:t xml:space="preserve">CITED1, CIDEA) kifejeződése és az adipociták oxigén fogyasztása (beleértve az UCP1</w:t>
      </w:r>
      <w:r>
        <w:rPr>
          <w:color w:val="000000"/>
          <w:sz w:val="24"/>
          <w:szCs w:val="24"/>
        </w:rPr>
        <w:br/>
        <w:t xml:space="preserve">aktivitásával arányos proton-csorgásos légzést); azonban a LAT-1 inhibitora jelenlétében a</w:t>
      </w:r>
      <w:r>
        <w:rPr>
          <w:color w:val="000000"/>
          <w:sz w:val="24"/>
          <w:szCs w:val="24"/>
        </w:rPr>
        <w:br/>
        <w:t xml:space="preserve">stimuláció kevésbé volt hatékony. A farmakológiai gátlás nem befolyásolta a LAT-1</w:t>
      </w:r>
      <w:r>
        <w:rPr>
          <w:color w:val="000000"/>
          <w:sz w:val="24"/>
          <w:szCs w:val="24"/>
        </w:rPr>
        <w:br/>
        <w:t xml:space="preserve">alegységeinek kifejeződését. Eredményeink arra utalnak, hogy a LAT-1 transzporter</w:t>
      </w:r>
      <w:r>
        <w:rPr>
          <w:color w:val="000000"/>
          <w:sz w:val="24"/>
          <w:szCs w:val="24"/>
        </w:rPr>
        <w:br/>
        <w:t xml:space="preserve">funkciója fontos szerepet játszik az aktív hőtermelő adipociták energia háztartásában.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67848">
    <w:multiLevelType w:val="hybridMultilevel"/>
    <w:lvl w:ilvl="0" w:tplc="97536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67848">
    <w:abstractNumId w:val="540678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954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