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AZZAYA DORJ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azaad517@gmail.com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Kőszegi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nyomásalapú “mikrovaszkuláris rezisztencia rezerv (MRR)” koncepciója és összehasonlítása a Doppler mérésből származó MRR meghatározással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Almost half of the patients with stable angina who underwent invasive coronary angiography</w:t>
      </w:r>
      <w:r>
        <w:rPr>
          <w:color w:val="000000"/>
          <w:sz w:val="24"/>
          <w:szCs w:val="24"/>
        </w:rPr>
        <w:br/>
        <w:t xml:space="preserve">don’t have an obstructive epicardial lesion. In these cases, coronary microcirculation</w:t>
      </w:r>
      <w:r>
        <w:rPr>
          <w:color w:val="000000"/>
          <w:sz w:val="24"/>
          <w:szCs w:val="24"/>
        </w:rPr>
        <w:br/>
        <w:t xml:space="preserve">dysfunction (CMD) could be the underlining mechanism, but the microcirculation function</w:t>
      </w:r>
      <w:r>
        <w:rPr>
          <w:color w:val="000000"/>
          <w:sz w:val="24"/>
          <w:szCs w:val="24"/>
        </w:rPr>
        <w:br/>
        <w:t xml:space="preserve">is hard to assess because it’s not visible on angiograms.</w:t>
      </w:r>
      <w:r>
        <w:rPr>
          <w:color w:val="000000"/>
          <w:sz w:val="24"/>
          <w:szCs w:val="24"/>
        </w:rPr>
        <w:br/>
        <w:t xml:space="preserve">Microvascular resistance reserve (MRR) has been introduced as an index for evaluating CMD</w:t>
      </w:r>
      <w:r>
        <w:rPr>
          <w:color w:val="000000"/>
          <w:sz w:val="24"/>
          <w:szCs w:val="24"/>
        </w:rPr>
        <w:br/>
        <w:t xml:space="preserve">that’s independent of epicardial resistance, myocardial mass, and autoregulation. MRR is</w:t>
      </w:r>
      <w:r>
        <w:rPr>
          <w:color w:val="000000"/>
          <w:sz w:val="24"/>
          <w:szCs w:val="24"/>
        </w:rPr>
        <w:br/>
        <w:t xml:space="preserve">specific for microcirculation resistance and could be a prognostic marker. Originally, MRR</w:t>
      </w:r>
      <w:r>
        <w:rPr>
          <w:color w:val="000000"/>
          <w:sz w:val="24"/>
          <w:szCs w:val="24"/>
        </w:rPr>
        <w:br/>
        <w:t xml:space="preserve">is calculated by Doppler-guided or thermodilution-derived flow measurement methods.</w:t>
      </w:r>
      <w:r>
        <w:rPr>
          <w:color w:val="000000"/>
          <w:sz w:val="24"/>
          <w:szCs w:val="24"/>
        </w:rPr>
        <w:br/>
        <w:t xml:space="preserve">In our study, we used a pressure-bounded approach to calculate the maximal and minimal</w:t>
      </w:r>
      <w:r>
        <w:rPr>
          <w:color w:val="000000"/>
          <w:sz w:val="24"/>
          <w:szCs w:val="24"/>
        </w:rPr>
        <w:br/>
        <w:t xml:space="preserve">coronary flow reserve (CFRpb) after hydrostatic pressure error correction, and also to</w:t>
      </w:r>
      <w:r>
        <w:rPr>
          <w:color w:val="000000"/>
          <w:sz w:val="24"/>
          <w:szCs w:val="24"/>
        </w:rPr>
        <w:br/>
        <w:t xml:space="preserve">determine the pressure-bounded MRR interval (MRRpb). The actual MRRp-3D was</w:t>
      </w:r>
      <w:r>
        <w:rPr>
          <w:color w:val="000000"/>
          <w:sz w:val="24"/>
          <w:szCs w:val="24"/>
        </w:rPr>
        <w:br/>
        <w:t xml:space="preserve">determined by hemodynamic calculation using both the measured intracoronary pressure data</w:t>
      </w:r>
      <w:r>
        <w:rPr>
          <w:color w:val="000000"/>
          <w:sz w:val="24"/>
          <w:szCs w:val="24"/>
        </w:rPr>
        <w:br/>
        <w:t xml:space="preserve">and the angiography-based 3D anatomical results by QAngio XA software.</w:t>
      </w:r>
      <w:r>
        <w:rPr>
          <w:color w:val="000000"/>
          <w:sz w:val="24"/>
          <w:szCs w:val="24"/>
        </w:rPr>
        <w:br/>
        <w:t xml:space="preserve">The total number of 42 vessels with a single intermediate stenosis including a test population</w:t>
      </w:r>
      <w:r>
        <w:rPr>
          <w:color w:val="000000"/>
          <w:sz w:val="24"/>
          <w:szCs w:val="24"/>
        </w:rPr>
        <w:br/>
        <w:t xml:space="preserve">of 19 subjects who had Doppler flow measurement were studied. Clinical routine invasive</w:t>
      </w:r>
      <w:r>
        <w:rPr>
          <w:color w:val="000000"/>
          <w:sz w:val="24"/>
          <w:szCs w:val="24"/>
        </w:rPr>
        <w:br/>
        <w:t xml:space="preserve">coronary angiography and FFR measurement provided the required data. Pressure-bound</w:t>
      </w:r>
      <w:r>
        <w:rPr>
          <w:color w:val="000000"/>
          <w:sz w:val="24"/>
          <w:szCs w:val="24"/>
        </w:rPr>
        <w:br/>
        <w:t xml:space="preserve">CFRpb and MRRpb were determined by the methods described by previous publications.</w:t>
      </w:r>
      <w:r>
        <w:rPr>
          <w:color w:val="000000"/>
          <w:sz w:val="24"/>
          <w:szCs w:val="24"/>
        </w:rPr>
        <w:br/>
        <w:t xml:space="preserve">The actual CFRp-3D was calculated via the website http://coronart.unideb.hu. Statistical</w:t>
      </w:r>
      <w:r>
        <w:rPr>
          <w:color w:val="000000"/>
          <w:sz w:val="24"/>
          <w:szCs w:val="24"/>
        </w:rPr>
        <w:br/>
        <w:t xml:space="preserve">analysis was done by using MedCalc Software.</w:t>
      </w:r>
      <w:r>
        <w:rPr>
          <w:color w:val="000000"/>
          <w:sz w:val="24"/>
          <w:szCs w:val="24"/>
        </w:rPr>
        <w:br/>
        <w:t xml:space="preserve">The regression analysis showed the actual value of MRRp-3D could be predicted from</w:t>
      </w:r>
      <w:r>
        <w:rPr>
          <w:color w:val="000000"/>
          <w:sz w:val="24"/>
          <w:szCs w:val="24"/>
        </w:rPr>
        <w:br/>
        <w:t xml:space="preserve">pressure-bounded maximal MRRpb-max by the following equation:</w:t>
      </w:r>
      <w:r>
        <w:rPr>
          <w:color w:val="000000"/>
          <w:sz w:val="24"/>
          <w:szCs w:val="24"/>
        </w:rPr>
        <w:br/>
        <w:t xml:space="preserve">MRRpredicted=1.09+0.49×MRRpbmax (r2=0.70, p&lt;0.001). A significant correlation</w:t>
      </w:r>
      <w:r>
        <w:rPr>
          <w:color w:val="000000"/>
          <w:sz w:val="24"/>
          <w:szCs w:val="24"/>
        </w:rPr>
        <w:br/>
        <w:t xml:space="preserve">(r=0.54, p=0.01) was found between the gold standard Doppler MRR and the predicted MRR.</w:t>
      </w:r>
      <w:r>
        <w:rPr>
          <w:color w:val="000000"/>
          <w:sz w:val="24"/>
          <w:szCs w:val="24"/>
        </w:rPr>
        <w:br/>
        <w:t xml:space="preserve">The same correlation analysis in the non-ischemic FFR subgroup was also significant</w:t>
      </w:r>
      <w:r>
        <w:rPr>
          <w:color w:val="000000"/>
          <w:sz w:val="24"/>
          <w:szCs w:val="24"/>
        </w:rPr>
        <w:br/>
        <w:t xml:space="preserve">(r=0.76, p=0.01). The Bland-Altman analysis showed the mean differences between the</w:t>
      </w:r>
      <w:r>
        <w:rPr>
          <w:color w:val="000000"/>
          <w:sz w:val="24"/>
          <w:szCs w:val="24"/>
        </w:rPr>
        <w:br/>
        <w:t xml:space="preserve">Doppler-measured and the predicted MRR values to be -0.02 (±1.96 SD: 0.82, -0.86).</w:t>
      </w:r>
      <w:r>
        <w:rPr>
          <w:color w:val="000000"/>
          <w:sz w:val="24"/>
          <w:szCs w:val="24"/>
        </w:rPr>
        <w:br/>
        <w:t xml:space="preserve">The predicted MRR from intracoronary pressure data is a simply calculable index for</w:t>
      </w:r>
      <w:r>
        <w:rPr>
          <w:color w:val="000000"/>
          <w:sz w:val="24"/>
          <w:szCs w:val="24"/>
        </w:rPr>
        <w:br/>
        <w:t xml:space="preserve">assessing CMD and showed reliability even in low-pressure gradient vessels. After</w:t>
      </w:r>
      <w:r>
        <w:rPr>
          <w:color w:val="000000"/>
          <w:sz w:val="24"/>
          <w:szCs w:val="24"/>
        </w:rPr>
        <w:br/>
        <w:t xml:space="preserve">hydrostatic pressure error correction, pressure gradients detected during routine FFR</w:t>
      </w:r>
      <w:r>
        <w:rPr>
          <w:color w:val="000000"/>
          <w:sz w:val="24"/>
          <w:szCs w:val="24"/>
        </w:rPr>
        <w:br/>
        <w:t xml:space="preserve">measurements can provide sufficient data for calculations to simultaneously assess macroand microvascular function.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99527">
    <w:multiLevelType w:val="hybridMultilevel"/>
    <w:lvl w:ilvl="0" w:tplc="49792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99527">
    <w:abstractNumId w:val="76099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329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