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TAMÁS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tamas.pinter998@gmail.com</w:t>
            </w:r>
            <w:r w:rsidRPr="002361E2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Attila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Fagyas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mérési eredmények a valóságot tükrözik? – Kihívások a szívelégtelenség biomarker kutatásában…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szívelégtelen betegek gyógyszeres kezelésében sikeresen</w:t>
      </w:r>
      <w:r>
        <w:rPr>
          <w:color w:val="000000"/>
          <w:sz w:val="24"/>
          <w:szCs w:val="24"/>
        </w:rPr>
        <w:br/>
        <w:t xml:space="preserve">alkalmazzák a neprilizin-gátló sacubitrilt angiotenzin II receptor antagonistával kombinálva,</w:t>
      </w:r>
      <w:r>
        <w:rPr>
          <w:color w:val="000000"/>
          <w:sz w:val="24"/>
          <w:szCs w:val="24"/>
        </w:rPr>
        <w:br/>
        <w:t xml:space="preserve">mely jól mutatja a neprilizin (NEP) kiemelt szerepét a kardiovaszkuláris megbetegedések</w:t>
      </w:r>
      <w:r>
        <w:rPr>
          <w:color w:val="000000"/>
          <w:sz w:val="24"/>
          <w:szCs w:val="24"/>
        </w:rPr>
        <w:br/>
        <w:t xml:space="preserve">patogenezisében. A sacubitril a NEP enzim gátlása révén jelentősen csökkenti a</w:t>
      </w:r>
      <w:r>
        <w:rPr>
          <w:color w:val="000000"/>
          <w:sz w:val="24"/>
          <w:szCs w:val="24"/>
        </w:rPr>
        <w:br/>
        <w:t xml:space="preserve">kardiovaszkuláris okokból bekövetkező hospitalizációk számát és a halálozást. Fontos</w:t>
      </w:r>
      <w:r>
        <w:rPr>
          <w:color w:val="000000"/>
          <w:sz w:val="24"/>
          <w:szCs w:val="24"/>
        </w:rPr>
        <w:br/>
        <w:t xml:space="preserve">azonban megjegyezni, hogy jelentős egyedi különbségek mutatkoznak a gyógyszeres kezelés</w:t>
      </w:r>
      <w:r>
        <w:rPr>
          <w:color w:val="000000"/>
          <w:sz w:val="24"/>
          <w:szCs w:val="24"/>
        </w:rPr>
        <w:br/>
        <w:t xml:space="preserve">hatékonyságában és a terápiára adott válasz tekintetében, melynek hátterében álló</w:t>
      </w:r>
      <w:r>
        <w:rPr>
          <w:color w:val="000000"/>
          <w:sz w:val="24"/>
          <w:szCs w:val="24"/>
        </w:rPr>
        <w:br/>
        <w:t xml:space="preserve">mechanizmusok feltárása volt jelen kutatásunk célja.</w:t>
      </w:r>
      <w:r>
        <w:rPr>
          <w:color w:val="000000"/>
          <w:sz w:val="24"/>
          <w:szCs w:val="24"/>
        </w:rPr>
        <w:br/>
        <w:t xml:space="preserve">Módszerek: A szérum NEP koncentrációját kereskedelmi forgalomban kapható ELISA kittel,</w:t>
      </w:r>
      <w:r>
        <w:rPr>
          <w:color w:val="000000"/>
          <w:sz w:val="24"/>
          <w:szCs w:val="24"/>
        </w:rPr>
        <w:br/>
        <w:t xml:space="preserve">a szérum NEP aktivitását végpontos fluoreszcens esszével határoztuk meg. A NEP gént</w:t>
      </w:r>
      <w:r>
        <w:rPr>
          <w:color w:val="000000"/>
          <w:sz w:val="24"/>
          <w:szCs w:val="24"/>
        </w:rPr>
        <w:br/>
        <w:t xml:space="preserve">Sanger szekvenálással, a feltárt genetikai eltéréseket restrikciós fragment hosszúság</w:t>
      </w:r>
      <w:r>
        <w:rPr>
          <w:color w:val="000000"/>
          <w:sz w:val="24"/>
          <w:szCs w:val="24"/>
        </w:rPr>
        <w:br/>
        <w:t xml:space="preserve">polimorfizmus (RFLP) vizsgálattal elemeztük.</w:t>
      </w:r>
      <w:r>
        <w:rPr>
          <w:color w:val="000000"/>
          <w:sz w:val="24"/>
          <w:szCs w:val="24"/>
        </w:rPr>
        <w:br/>
        <w:t xml:space="preserve">Eredmények: A kardiovaszkuláris betegek szérum NEP koncentrációja jelentős</w:t>
      </w:r>
      <w:r>
        <w:rPr>
          <w:color w:val="000000"/>
          <w:sz w:val="24"/>
          <w:szCs w:val="24"/>
        </w:rPr>
        <w:br/>
        <w:t xml:space="preserve">interindividuális eltéréseket mutatott (középérték: 35,41 pg/mL [min: 0,38 pg/mL; max:</w:t>
      </w:r>
      <w:r>
        <w:rPr>
          <w:color w:val="000000"/>
          <w:sz w:val="24"/>
          <w:szCs w:val="24"/>
        </w:rPr>
        <w:br/>
        <w:t xml:space="preserve">10765 pg/mL; n= 75), melynek hátterében genetikai polimorfizmust sejtettünk. A</w:t>
      </w:r>
      <w:r>
        <w:rPr>
          <w:color w:val="000000"/>
          <w:sz w:val="24"/>
          <w:szCs w:val="24"/>
        </w:rPr>
        <w:br/>
        <w:t xml:space="preserve">legmagasabb NEP koncentrációjú egyén (NEP= 10765pg/mL) NEP génjének</w:t>
      </w:r>
      <w:r>
        <w:rPr>
          <w:color w:val="000000"/>
          <w:sz w:val="24"/>
          <w:szCs w:val="24"/>
        </w:rPr>
        <w:br/>
        <w:t xml:space="preserve">szekvenálásával a 23. exon chr3:155180618 pozíciójában, az irodalomban már rs701109</w:t>
      </w:r>
      <w:r>
        <w:rPr>
          <w:color w:val="000000"/>
          <w:sz w:val="24"/>
          <w:szCs w:val="24"/>
        </w:rPr>
        <w:br/>
        <w:t xml:space="preserve">számon ismert NEP koncentrációt növelő mutációt azonosítottunk. Ennek a meglétét több</w:t>
      </w:r>
      <w:r>
        <w:rPr>
          <w:color w:val="000000"/>
          <w:sz w:val="24"/>
          <w:szCs w:val="24"/>
        </w:rPr>
        <w:br/>
        <w:t xml:space="preserve">beteg esetében is vizsgáltuk, azonban a mutáció hiánya mellett is mértünk magas szérum</w:t>
      </w:r>
      <w:r>
        <w:rPr>
          <w:color w:val="000000"/>
          <w:sz w:val="24"/>
          <w:szCs w:val="24"/>
        </w:rPr>
        <w:br/>
        <w:t xml:space="preserve">NEP koncentrációt. A NEP koncentráció és aktivitás közötti összefüggés vizsgálata felvetette</w:t>
      </w:r>
      <w:r>
        <w:rPr>
          <w:color w:val="000000"/>
          <w:sz w:val="24"/>
          <w:szCs w:val="24"/>
        </w:rPr>
        <w:br/>
        <w:t xml:space="preserve">egy endogén NEP inhibitor jelenlétét a szérumban. A négyszeresére hígított szérum több,</w:t>
      </w:r>
      <w:r>
        <w:rPr>
          <w:color w:val="000000"/>
          <w:sz w:val="24"/>
          <w:szCs w:val="24"/>
        </w:rPr>
        <w:br/>
        <w:t xml:space="preserve">mint 60%-kal csökkentette a rekombináns NEP aktivitását. A két leggyakoribb szérum</w:t>
      </w:r>
      <w:r>
        <w:rPr>
          <w:color w:val="000000"/>
          <w:sz w:val="24"/>
          <w:szCs w:val="24"/>
        </w:rPr>
        <w:br/>
        <w:t xml:space="preserve">fehérje (IgG, albumin) mintából történő eltávolítása nem növelte meg a szérum endogén NEP</w:t>
      </w:r>
      <w:r>
        <w:rPr>
          <w:color w:val="000000"/>
          <w:sz w:val="24"/>
          <w:szCs w:val="24"/>
        </w:rPr>
        <w:br/>
        <w:t xml:space="preserve">aktivitását, viszont megszüntette a rekombináns NEP-re kifejtett gátlóhatását. Az IgG nem</w:t>
      </w:r>
      <w:r>
        <w:rPr>
          <w:color w:val="000000"/>
          <w:sz w:val="24"/>
          <w:szCs w:val="24"/>
        </w:rPr>
        <w:br/>
        <w:t xml:space="preserve">befolyásolta, míg az albumin 15,03 g/L IC50 értékkel jelentősen csökkentette a rekombináns</w:t>
      </w:r>
      <w:r>
        <w:rPr>
          <w:color w:val="000000"/>
          <w:sz w:val="24"/>
          <w:szCs w:val="24"/>
        </w:rPr>
        <w:br/>
        <w:t xml:space="preserve">NEP aktivitását.</w:t>
      </w:r>
      <w:r>
        <w:rPr>
          <w:color w:val="000000"/>
          <w:sz w:val="24"/>
          <w:szCs w:val="24"/>
        </w:rPr>
        <w:br/>
        <w:t xml:space="preserve">Megbeszélés: Az albumin a szérum NEP endogén inhibitora, mely a NEP aktivitásának</w:t>
      </w:r>
      <w:r>
        <w:rPr>
          <w:color w:val="000000"/>
          <w:sz w:val="24"/>
          <w:szCs w:val="24"/>
        </w:rPr>
        <w:br/>
        <w:t xml:space="preserve">csökkentésén túl befolyásolhatja az ELISA alapú NEP koncentrációmérések eredményeit.</w:t>
      </w:r>
      <w:r>
        <w:rPr>
          <w:color w:val="000000"/>
          <w:sz w:val="24"/>
          <w:szCs w:val="24"/>
        </w:rPr>
        <w:br/>
        <w:t xml:space="preserve">Mindez új színben tünteti fel - az általunk is használt módszerekkel meghatározott - eddig</w:t>
      </w:r>
      <w:r>
        <w:rPr>
          <w:color w:val="000000"/>
          <w:sz w:val="24"/>
          <w:szCs w:val="24"/>
        </w:rPr>
        <w:br/>
        <w:t xml:space="preserve">leközölt tanulmányok megállapításait. Következésképpen a NEP élettani szabályozása és a</w:t>
      </w:r>
      <w:r>
        <w:rPr>
          <w:color w:val="000000"/>
          <w:sz w:val="24"/>
          <w:szCs w:val="24"/>
        </w:rPr>
        <w:br/>
        <w:t xml:space="preserve">NEP inhibitorok hatásmechanizmusa számos meglepetést tartogat az elkövetkező időkre.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55256">
    <w:multiLevelType w:val="hybridMultilevel"/>
    <w:lvl w:ilvl="0" w:tplc="27685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55256">
    <w:abstractNumId w:val="28755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866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