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MÁTÉ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mate.balazs.kovacs@gmail.com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Ráduly Arnold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típusú kardiális miozin aktivátor, a danicamtiv hatásainak vizsgálata in vivo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neurohormonális rendszer befolyásolása mellett a szisztolés szívelégtelenség (HFrEF) másik lehetséges kezelési módja a szívizom kontraktilitásának fokozása. Az omecamtiv mecarbil (OM) mellett egy másik új molekula, a danicamtiv (DAN) szintén a kardiális miozin motor aktiválásával képes a kontraktilitás növelésére.</w:t>
      </w:r>
      <w:r>
        <w:rPr>
          <w:color w:val="000000"/>
          <w:sz w:val="24"/>
          <w:szCs w:val="24"/>
        </w:rPr>
        <w:br/>
        <w:t xml:space="preserve">Célkitűzés: A DAN szisztolés és diasztolés funkcióra kifejtett hatásainak karakterizálása in vivo patkánymodellen echocardiographia segítségével.</w:t>
      </w:r>
      <w:r>
        <w:rPr>
          <w:color w:val="000000"/>
          <w:sz w:val="24"/>
          <w:szCs w:val="24"/>
        </w:rPr>
        <w:br/>
        <w:t xml:space="preserve">Módszerek: A DAN hatásait Sprague Dawley patkányokon (n=14) generál anesztéziát követően vizsgáltuk. Farokvéna kanülálást követően a DAN-ot 2 mg/ttkg dózisban, intravénásan alkalmaztuk. A DAN esetleges proarritmiás hatásainak azonosítása céljából folyamatos EKG monitorozást, a szisztolés és diasztolés funkció jellemzésére részletes szívultrahang vizsgálatot végeztünk DAN kezelés előtt és után. Statisztika: két mintás T próba, p&lt;0,05.</w:t>
      </w:r>
      <w:r>
        <w:rPr>
          <w:color w:val="000000"/>
          <w:sz w:val="24"/>
          <w:szCs w:val="24"/>
        </w:rPr>
        <w:br/>
        <w:t xml:space="preserve">Eredmények: A DAN hatására a végszisztolés átmérő jelentősen csökkent (2,9±0,2 vs. 3,8±0,1 mm, p&lt;0,001), a végdiasztolés átmérő ugyanakkor nem változott. A bal kamrai ejekciós frakció (89,4±1,0 vs. 79,8±1,2%, p&lt;0,001), a frakcionális rövidülés (63,6±1,5 vs. 50,6±1,3%, p&lt;0,001), a pulzustérfogat (290,6±20,3 vs. 243,9±10,1 µl, p=0,01) és a perctérfogat (72,5±5,0 vs. 61,4±3,0 ml/perc, p=0,03) szignifikánsan növekedett, melyek alátámasztják a szer pozitív inotróp hatását. A globális longitudinális és circumferenciális strain szintén jelentősen javult. A szisztolé ideje (106,0±3,3 vs. 88,6±1,8 ms, p=0,0001) és a szisztolés ejekciós idő (87,1±3,1 vs. 72,3±1,5 ms, p&lt;0,001) nőtt, míg a diasztolé ideje (133,0±4,7 vs. 152,2±4,2 ms, p=0,008) csökkent. DAN hatására a korai (E) diasztolés transzmitrális áramlási sebesség csökkent (645,9±29,2 vs. 720,9±11,9 mm/s, p=0,01), a késői (A) diasztolés transzmitrális áramlási sebesség viszont jelentősen növekedett (506,9±37,8 vs. 379,2±19,0 mm/s, p=0,003), mely az E/A arány következményes csökkenését eredményezte. Az EKG monitorozás során sem szupraventrikuláris, sem pedig ventrikuláris ritmuszavar kialakulását nem észleltük.</w:t>
      </w:r>
      <w:r>
        <w:rPr>
          <w:color w:val="000000"/>
          <w:sz w:val="24"/>
          <w:szCs w:val="24"/>
        </w:rPr>
        <w:br/>
        <w:t xml:space="preserve">Konklúzió: A DAN jelentősen fokozza bal kamra kontraktilitását proarritmiás hatás nélkül. A szer pozitív inotróp hatása mellett diasztolés diszfunkció (DD) kialakulását figyeltük meg, mely az OM-hez viszonyítva kevésbé volt kifejezett. A DAN jövőbeli klinikai alkalmazásakor a DD szoros monitorozása elengedhetetlennek tűnik.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43010">
    <w:multiLevelType w:val="hybridMultilevel"/>
    <w:lvl w:ilvl="0" w:tplc="67925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43010">
    <w:abstractNumId w:val="54043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224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