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GELLÉN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gellenfanni@gmail.com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Judit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3-6 éves gyermekek szájüregi egészségfelmérése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Vizsgálatunk célja a 3-6 éves korosztályt érintő szájüregi rendellenességek, elsősorban a fogszuvasodás, továbbá a gingivitis, szájnyálkahártya elváltozások és traumás fogsérülések előfordulási gyakoriságának felmérése, valamint az ezekkel összefüggésbe hozható környezeti tényezők feltárása volt.</w:t>
      </w:r>
      <w:r>
        <w:rPr>
          <w:color w:val="000000"/>
          <w:sz w:val="24"/>
          <w:szCs w:val="24"/>
        </w:rPr>
        <w:br/>
        <w:t xml:space="preserve">Anyagok és módszerek: 2022. március és november között 400 gyermek fogászati szűrővizsgálatát végeztük el összesen 7 debreceni óvodában. A gyermekek orális egészségi állapotának felmérését az Egészségügyi Világszervezet által elfogadott szempontrendszer és módosított státuszlap segítségével végeztük. A vizsgálatokat egyazon szakorvos végezte medikus asszisztenciájával. A vizsgálatban résztvevő gyermekek szülei a gyermek egészségügyi állapotával és kórelőzményével, táplálkozási- és szájhigiénés szokásaival kapcsolatos, általunk összeállított kérdőívet töltöttek ki, melyet összevetettünk a gyermekek szájüregi egészségével. A statisztikai adatfeldolgozást SPSS programcsomaggal végeztük, ANOVA-teszt, valamint Kruskal-Wallis-próba és kereszttábla-elemzések segítségével. A szignifikancia szintet minden esetben p&lt;0,05-nél határoztuk meg.</w:t>
      </w:r>
      <w:r>
        <w:rPr>
          <w:color w:val="000000"/>
          <w:sz w:val="24"/>
          <w:szCs w:val="24"/>
        </w:rPr>
        <w:br/>
        <w:t xml:space="preserve">Eredmények: A vizsgált populációban szondázásra jelentkező ínyvérzést a gyermekek 27%- ánál, pulpapolipot 2,5%, parulist pedig 1,8% esetében észleltünk. Traumás fogsérülése az óvodások 4%-ának volt. A caries prevalenciája 39,75%, a dmf-t index 1,87 (95%CI=1,55- 2,18) volt. 17 szignifikáns prognosztikai markert azonosítottunk, melyek közül a legmarkánsabban a gyermek neme (p&lt;0,001), életkora (p&lt;0,001), fogmosás megkezdésének ideje (p=0,013), nassolás gyakorisága (p=0,015), szénsavas üdítő fogyasztása (p&lt;0,001), az anya iskolai végzettsége (p&lt;0,001), valamint a családban egy főre jutó jövedelem (p&lt;0,001) korrelált a gyermek dmf-t számával. Multinomialis regressziós analízis során a caries előfordulására független prognosztikai tényezőnek bizonyult a gyermek neme, életkora, az anya iskolai végzettsége, valamint a családban egy főre jutó jövedelem.</w:t>
      </w:r>
      <w:r>
        <w:rPr>
          <w:color w:val="000000"/>
          <w:sz w:val="24"/>
          <w:szCs w:val="24"/>
        </w:rPr>
        <w:br/>
        <w:t xml:space="preserve">Következtetések: Vizsgálatunk során a caries kialakulásában számos tényező kóroki szerepét tudtuk igazolni, mint az alacsony szociális- és gazdasági státusz, rossz szájhigénés szokások, nem megfelelő táplálkozási habitus. Eredményeink rávilágítanak arra, hogy mennyire fontos a szülők mielőbbi megfelelő edukálása, valamint a korán elkezdett, rendszeres fogászati szűrővizsgálat.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95235">
    <w:multiLevelType w:val="hybridMultilevel"/>
    <w:lvl w:ilvl="0" w:tplc="34020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95235">
    <w:abstractNumId w:val="281952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50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