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MÉNES ENIKŐ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meneseniko@gmail.com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Erdei Annamária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Emri Gabriella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MELANOMA MALIGNUM MIATT IMMUNCHECKPOINT INHIBITOR TERÁPIÁBAN RÉSZESÜLŐ BETEGEK KEZELÉSE SORÁN JELENTKEZŐ ENDOCRIN MELLÉKHATÁSOK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immuncheckpoint inhibitorok (ICI) az onkológiai terápia fontos elemeivé</w:t>
      </w:r>
      <w:r>
        <w:rPr>
          <w:color w:val="000000"/>
          <w:sz w:val="24"/>
          <w:szCs w:val="24"/>
        </w:rPr>
        <w:br/>
        <w:t xml:space="preserve">váltak az elmúlt években. Az immunellenőrzőpontok gátlása révén az immunrendszer Tsejtjeinek aktivitása fokozható, ezáltal hatékonyabbá téve a malignus folyamatok elleni</w:t>
      </w:r>
      <w:r>
        <w:rPr>
          <w:color w:val="000000"/>
          <w:sz w:val="24"/>
          <w:szCs w:val="24"/>
        </w:rPr>
        <w:br/>
        <w:t xml:space="preserve">védekezést. Az immuncheckpointok az autoimmun folyamatok megelőzésében is fontos</w:t>
      </w:r>
      <w:r>
        <w:rPr>
          <w:color w:val="000000"/>
          <w:sz w:val="24"/>
          <w:szCs w:val="24"/>
        </w:rPr>
        <w:br/>
        <w:t xml:space="preserve">szerepet játszanak, így gátlásuk esetén immuneredetű mellékhatások alakulhatnak ki a</w:t>
      </w:r>
      <w:r>
        <w:rPr>
          <w:color w:val="000000"/>
          <w:sz w:val="24"/>
          <w:szCs w:val="24"/>
        </w:rPr>
        <w:br/>
        <w:t xml:space="preserve">betegekben. Ezen mellékhatások közül egyik leggyakoribb az endocrinopathiák csoportja.</w:t>
      </w:r>
      <w:r>
        <w:rPr>
          <w:color w:val="000000"/>
          <w:sz w:val="24"/>
          <w:szCs w:val="24"/>
        </w:rPr>
        <w:br/>
        <w:t xml:space="preserve">Módszerek: Munkánk során a Debreceni Egyetem Klinikai Központ Bőrgyógyászati Klinikáján</w:t>
      </w:r>
      <w:r>
        <w:rPr>
          <w:color w:val="000000"/>
          <w:sz w:val="24"/>
          <w:szCs w:val="24"/>
        </w:rPr>
        <w:br/>
        <w:t xml:space="preserve">2015 óta melanoma malignum miatt immuncheckpoint inhibitor kezelésben részesülő</w:t>
      </w:r>
      <w:r>
        <w:rPr>
          <w:color w:val="000000"/>
          <w:sz w:val="24"/>
          <w:szCs w:val="24"/>
        </w:rPr>
        <w:br/>
        <w:t xml:space="preserve">betegeknél kialakult endocrin mellékhatásokat vizsgáltuk retrospektív módon.</w:t>
      </w:r>
      <w:r>
        <w:rPr>
          <w:color w:val="000000"/>
          <w:sz w:val="24"/>
          <w:szCs w:val="24"/>
        </w:rPr>
        <w:br/>
        <w:t xml:space="preserve">Célkitűzés: Célunk volt a kapott adatok alapján egy olyan diagnosztikai irányelv kidolgozása,</w:t>
      </w:r>
      <w:r>
        <w:rPr>
          <w:color w:val="000000"/>
          <w:sz w:val="24"/>
          <w:szCs w:val="24"/>
        </w:rPr>
        <w:br/>
        <w:t xml:space="preserve">amely az ICI terápia során kialakuló endokrinológiai mellékhatások mihamarabbi</w:t>
      </w:r>
      <w:r>
        <w:rPr>
          <w:color w:val="000000"/>
          <w:sz w:val="24"/>
          <w:szCs w:val="24"/>
        </w:rPr>
        <w:br/>
        <w:t xml:space="preserve">felismerését és megfelelő kezelését segítheti.</w:t>
      </w:r>
      <w:r>
        <w:rPr>
          <w:color w:val="000000"/>
          <w:sz w:val="24"/>
          <w:szCs w:val="24"/>
        </w:rPr>
        <w:br/>
        <w:t xml:space="preserve">Eredmények: 221 beteg adatait dolgoztuk fel, közülük 131 férfi, 90 nő, az átlagéletkor</w:t>
      </w:r>
      <w:r>
        <w:rPr>
          <w:color w:val="000000"/>
          <w:sz w:val="24"/>
          <w:szCs w:val="24"/>
        </w:rPr>
        <w:br/>
        <w:t xml:space="preserve">61.4±13.3 év volt. Endocrin mellékhatás 69 esetben, a betegek 31.2%-ánál jelentkezett.</w:t>
      </w:r>
      <w:r>
        <w:rPr>
          <w:color w:val="000000"/>
          <w:sz w:val="24"/>
          <w:szCs w:val="24"/>
        </w:rPr>
        <w:br/>
        <w:t xml:space="preserve">Ezeknek a betegeknek 58%-a férfi, 42%-a nő, az átlagéletkor 61.4±12.8 év volt. A betegek</w:t>
      </w:r>
      <w:r>
        <w:rPr>
          <w:color w:val="000000"/>
          <w:sz w:val="24"/>
          <w:szCs w:val="24"/>
        </w:rPr>
        <w:br/>
        <w:t xml:space="preserve">25%-ánál a kezelés megkezdését követően egy hónapon belül, 89.1%-ban egy éven belül</w:t>
      </w:r>
      <w:r>
        <w:rPr>
          <w:color w:val="000000"/>
          <w:sz w:val="24"/>
          <w:szCs w:val="24"/>
        </w:rPr>
        <w:br/>
        <w:t xml:space="preserve">jelentkezett a mellékhatás. Az endocrin mellékhatások 83.8%-a érintette csak a</w:t>
      </w:r>
      <w:r>
        <w:rPr>
          <w:color w:val="000000"/>
          <w:sz w:val="24"/>
          <w:szCs w:val="24"/>
        </w:rPr>
        <w:br/>
        <w:t xml:space="preserve">pajzsmirigyet, 7.4%-a izoláltan a hypophysist, 8.8%-ban pedig a pajzsmirigyben és</w:t>
      </w:r>
      <w:r>
        <w:rPr>
          <w:color w:val="000000"/>
          <w:sz w:val="24"/>
          <w:szCs w:val="24"/>
        </w:rPr>
        <w:br/>
        <w:t xml:space="preserve">hypophysisben is jelentkezett mellékhatás. Hypophysitis esetén minden betegnél centrális</w:t>
      </w:r>
      <w:r>
        <w:rPr>
          <w:color w:val="000000"/>
          <w:sz w:val="24"/>
          <w:szCs w:val="24"/>
        </w:rPr>
        <w:br/>
        <w:t xml:space="preserve">hypadraenia igazolódott. A betegek 36.2%-a szorult az endocrinopathia miatt kezelésre; az</w:t>
      </w:r>
      <w:r>
        <w:rPr>
          <w:color w:val="000000"/>
          <w:sz w:val="24"/>
          <w:szCs w:val="24"/>
        </w:rPr>
        <w:br/>
        <w:t xml:space="preserve">ICI terápia leállítása endocrin mellékhatás miatt nem volt egy esetben sem szükséges.</w:t>
      </w:r>
      <w:r>
        <w:rPr>
          <w:color w:val="000000"/>
          <w:sz w:val="24"/>
          <w:szCs w:val="24"/>
        </w:rPr>
        <w:br/>
        <w:t xml:space="preserve">Megbeszélés: Az immuncheckpoint-inhibitor terápiában részesülő betegek közel 1/3-</w:t>
      </w:r>
      <w:r>
        <w:rPr>
          <w:color w:val="000000"/>
          <w:sz w:val="24"/>
          <w:szCs w:val="24"/>
        </w:rPr>
        <w:br/>
        <w:t xml:space="preserve">ában jelentkezett endocrin mellékhatás. A vizsgálatunk eredménye alapján a férfiakban és</w:t>
      </w:r>
      <w:r>
        <w:rPr>
          <w:color w:val="000000"/>
          <w:sz w:val="24"/>
          <w:szCs w:val="24"/>
        </w:rPr>
        <w:br/>
        <w:t xml:space="preserve">nőkben hasonló arányban kell az előfordulásával számolni, ami különbséget jelent a nem</w:t>
      </w:r>
      <w:r>
        <w:rPr>
          <w:color w:val="000000"/>
          <w:sz w:val="24"/>
          <w:szCs w:val="24"/>
        </w:rPr>
        <w:br/>
        <w:t xml:space="preserve">gyógyszer mellékhatásként kialakuló autoimmun pajzsmirigybetegségekben és autoimmun</w:t>
      </w:r>
      <w:r>
        <w:rPr>
          <w:color w:val="000000"/>
          <w:sz w:val="24"/>
          <w:szCs w:val="24"/>
        </w:rPr>
        <w:br/>
        <w:t xml:space="preserve">hypophysitisben észlelhető női dominanciához képest. Endocrin mellékhatás az esetek 25%-</w:t>
      </w:r>
      <w:r>
        <w:rPr>
          <w:color w:val="000000"/>
          <w:sz w:val="24"/>
          <w:szCs w:val="24"/>
        </w:rPr>
        <w:br/>
        <w:t xml:space="preserve">ában egy hónapos ICI kezelést követően jelentkezett, ez alapján a betegek szűrése a kezelés</w:t>
      </w:r>
      <w:r>
        <w:rPr>
          <w:color w:val="000000"/>
          <w:sz w:val="24"/>
          <w:szCs w:val="24"/>
        </w:rPr>
        <w:br/>
        <w:t xml:space="preserve">első hónapjától indokolt. Különösen fontos a hypophysitis felismerése, mely kezeletlen</w:t>
      </w:r>
      <w:r>
        <w:rPr>
          <w:color w:val="000000"/>
          <w:sz w:val="24"/>
          <w:szCs w:val="24"/>
        </w:rPr>
        <w:br/>
        <w:t xml:space="preserve">centrális hypadraenia esetén életet veszélyeztető krízisállapotot okozhat.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140201">
    <w:multiLevelType w:val="hybridMultilevel"/>
    <w:lvl w:ilvl="0" w:tplc="665665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140201">
    <w:abstractNumId w:val="731402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08525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