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KISGYÖRGY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ksgmate@gmail.com</w:t>
            </w:r>
            <w:r w:rsidRPr="002361E2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Szöőr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„affinitáshangolt” HER2-specifikus CAR T-sejtek tumorellenes hatást mutatnak in vitro emlőtumor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kiméra antigénreceptorokkal (CAR) módosított T sejtek alkalmazásának egy jelentős</w:t>
      </w:r>
      <w:r>
        <w:rPr>
          <w:color w:val="000000"/>
          <w:sz w:val="24"/>
          <w:szCs w:val="24"/>
        </w:rPr>
        <w:br/>
        <w:t xml:space="preserve">korlátja az úgynevezett on-target/off-tumor hatás, melyben a CAR T sejtek citotoxikus</w:t>
      </w:r>
      <w:r>
        <w:rPr>
          <w:color w:val="000000"/>
          <w:sz w:val="24"/>
          <w:szCs w:val="24"/>
        </w:rPr>
        <w:br/>
        <w:t xml:space="preserve">választ indukálnak a tumor-asszociált antigént (TAA) kismértékben kifejező normál szövet</w:t>
      </w:r>
      <w:r>
        <w:rPr>
          <w:color w:val="000000"/>
          <w:sz w:val="24"/>
          <w:szCs w:val="24"/>
        </w:rPr>
        <w:br/>
        <w:t xml:space="preserve">ellen. Azt feltételezzük, hogy a CAR-ok „affinitáshangolásával” elő lehet állítani olyan</w:t>
      </w:r>
      <w:r>
        <w:rPr>
          <w:color w:val="000000"/>
          <w:sz w:val="24"/>
          <w:szCs w:val="24"/>
        </w:rPr>
        <w:br/>
        <w:t xml:space="preserve">effektorokat, amelyek még felismerik a tumort, ugyanakkor már nem aktiválódnak a normál</w:t>
      </w:r>
      <w:r>
        <w:rPr>
          <w:color w:val="000000"/>
          <w:sz w:val="24"/>
          <w:szCs w:val="24"/>
        </w:rPr>
        <w:br/>
        <w:t xml:space="preserve">sejtekre jellemző kis TAA denzitás mellett. Ennek érdekében jelen kutatásunkban különböző</w:t>
      </w:r>
      <w:r>
        <w:rPr>
          <w:color w:val="000000"/>
          <w:sz w:val="24"/>
          <w:szCs w:val="24"/>
        </w:rPr>
        <w:br/>
        <w:t xml:space="preserve">affinitású HER2 specifikus CAR-okkal módosítottuk a T sejteket, majd vizsgáltuk in vitro</w:t>
      </w:r>
      <w:r>
        <w:rPr>
          <w:color w:val="000000"/>
          <w:sz w:val="24"/>
          <w:szCs w:val="24"/>
        </w:rPr>
        <w:br/>
        <w:t xml:space="preserve">hatékonyságukat HER2 target jelenlétében.</w:t>
      </w:r>
      <w:r>
        <w:rPr>
          <w:color w:val="000000"/>
          <w:sz w:val="24"/>
          <w:szCs w:val="24"/>
        </w:rPr>
        <w:br/>
        <w:t xml:space="preserve">Kísérleteinkben a humán PBMC-t retrovirális transzdukcióval módosítottuk különböző</w:t>
      </w:r>
      <w:r>
        <w:rPr>
          <w:color w:val="000000"/>
          <w:sz w:val="24"/>
          <w:szCs w:val="24"/>
        </w:rPr>
        <w:br/>
        <w:t xml:space="preserve">affinitású II. generációs HER2 specifikus CAR-okkal (HER25+-; HER24+-; HER23+-;</w:t>
      </w:r>
      <w:r>
        <w:rPr>
          <w:color w:val="000000"/>
          <w:sz w:val="24"/>
          <w:szCs w:val="24"/>
        </w:rPr>
        <w:br/>
        <w:t xml:space="preserve">HER22+-; HER2+-CARok). A konstruktok hasonló mértékben (~60%) expresszálódtak a T</w:t>
      </w:r>
      <w:r>
        <w:rPr>
          <w:color w:val="000000"/>
          <w:sz w:val="24"/>
          <w:szCs w:val="24"/>
        </w:rPr>
        <w:br/>
        <w:t xml:space="preserve">sejtek felszínén. Ezt követően klasszikus immunológiai módszerekkel vizsgáltuk a</w:t>
      </w:r>
      <w:r>
        <w:rPr>
          <w:color w:val="000000"/>
          <w:sz w:val="24"/>
          <w:szCs w:val="24"/>
        </w:rPr>
        <w:br/>
        <w:t xml:space="preserve">különböző affinitású HER2-CAR T sejtek aktiválódását (IFNγ és IL2 ELISA) és</w:t>
      </w:r>
      <w:r>
        <w:rPr>
          <w:color w:val="000000"/>
          <w:sz w:val="24"/>
          <w:szCs w:val="24"/>
        </w:rPr>
        <w:br/>
        <w:t xml:space="preserve">tumorellenes hatását (ölési essay) immobilizált HER2, illetve HER2-t expresszáló MDAHER2 és JIMT-1 emlőtumor sejtvonalak jelenlétében. Kontroll targetként HER2 negatív</w:t>
      </w:r>
      <w:r>
        <w:rPr>
          <w:color w:val="000000"/>
          <w:sz w:val="24"/>
          <w:szCs w:val="24"/>
        </w:rPr>
        <w:br/>
        <w:t xml:space="preserve">MDA, kontroll effektorként nem módosított T sejteket használtunk.</w:t>
      </w:r>
      <w:r>
        <w:rPr>
          <w:color w:val="000000"/>
          <w:sz w:val="24"/>
          <w:szCs w:val="24"/>
        </w:rPr>
        <w:br/>
        <w:t xml:space="preserve">Megállapítottuk, hogy 1µg/ml immobilizált HER2 jelenlétében a CAR T sejtek által</w:t>
      </w:r>
      <w:r>
        <w:rPr>
          <w:color w:val="000000"/>
          <w:sz w:val="24"/>
          <w:szCs w:val="24"/>
        </w:rPr>
        <w:br/>
        <w:t xml:space="preserve">szekretált IFNγ mennyisége a konstruktok affinitásával arányosan nőtt. Ugyanakkor, az IL2</w:t>
      </w:r>
      <w:r>
        <w:rPr>
          <w:color w:val="000000"/>
          <w:sz w:val="24"/>
          <w:szCs w:val="24"/>
        </w:rPr>
        <w:br/>
        <w:t xml:space="preserve">koncentrációt vizsgálva azt találtuk, hogy az affinitás növelésével az IL2 szekréció</w:t>
      </w:r>
      <w:r>
        <w:rPr>
          <w:color w:val="000000"/>
          <w:sz w:val="24"/>
          <w:szCs w:val="24"/>
        </w:rPr>
        <w:br/>
        <w:t xml:space="preserve">szaturálódott (HER23+, HER24+ és HER25+-CAR T-sejt kultúrák). A HER2-pozitív MDAHER2 és JIMT-1 emlőtumor sejtvonalak jelenlétében hasonló tendenciákat láttunk azzal a</w:t>
      </w:r>
      <w:r>
        <w:rPr>
          <w:color w:val="000000"/>
          <w:sz w:val="24"/>
          <w:szCs w:val="24"/>
        </w:rPr>
        <w:br/>
        <w:t xml:space="preserve">különbséggel, hogy a HER23+-CAR-ok rendre magasabb fokú citokin szekréciót indukáltak,</w:t>
      </w:r>
      <w:r>
        <w:rPr>
          <w:color w:val="000000"/>
          <w:sz w:val="24"/>
          <w:szCs w:val="24"/>
        </w:rPr>
        <w:br/>
        <w:t xml:space="preserve">mint az affinisebb HER24+-CAR-ok. Végezetül megállapítottuk, hogy a legkisebb affinitású</w:t>
      </w:r>
      <w:r>
        <w:rPr>
          <w:color w:val="000000"/>
          <w:sz w:val="24"/>
          <w:szCs w:val="24"/>
        </w:rPr>
        <w:br/>
        <w:t xml:space="preserve">HER2+-CAR T sejt kivételével az összes vizsgált konstrukt sikeresen eliminálta a target</w:t>
      </w:r>
      <w:r>
        <w:rPr>
          <w:color w:val="000000"/>
          <w:sz w:val="24"/>
          <w:szCs w:val="24"/>
        </w:rPr>
        <w:br/>
        <w:t xml:space="preserve">sejteket, ugyanakkor, az ölési hatékonyságok nem különböztek szignifikánsan.</w:t>
      </w:r>
      <w:r>
        <w:rPr>
          <w:color w:val="000000"/>
          <w:sz w:val="24"/>
          <w:szCs w:val="24"/>
        </w:rPr>
        <w:br/>
        <w:t xml:space="preserve">Kísérleteinkben sikeresen állítottunk elő különböző affinitású HER2 specifikus CAR-okat</w:t>
      </w:r>
      <w:r>
        <w:rPr>
          <w:color w:val="000000"/>
          <w:sz w:val="24"/>
          <w:szCs w:val="24"/>
        </w:rPr>
        <w:br/>
        <w:t xml:space="preserve">kifejező humán T sejt készítményeket, amelyek egy kivételéven (HER2+-CAR) felismerték</w:t>
      </w:r>
      <w:r>
        <w:rPr>
          <w:color w:val="000000"/>
          <w:sz w:val="24"/>
          <w:szCs w:val="24"/>
        </w:rPr>
        <w:br/>
        <w:t xml:space="preserve">és eliminálták a HER2-t kifejező tumorsejteket. Jelen eredményeinkre alapozva a jövőben</w:t>
      </w:r>
      <w:r>
        <w:rPr>
          <w:color w:val="000000"/>
          <w:sz w:val="24"/>
          <w:szCs w:val="24"/>
        </w:rPr>
        <w:br/>
        <w:t xml:space="preserve">szeretnénk az effektor sejtek aktiválódását a HER2-t kismértékben expresszáló normál</w:t>
      </w:r>
      <w:r>
        <w:rPr>
          <w:color w:val="000000"/>
          <w:sz w:val="24"/>
          <w:szCs w:val="24"/>
        </w:rPr>
        <w:br/>
        <w:t xml:space="preserve">szöveti sejtek ellen is vizsgálni, majd eredményeinket állatkísérletes modellben validálni.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0338">
    <w:multiLevelType w:val="hybridMultilevel"/>
    <w:lvl w:ilvl="0" w:tplc="82972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0338">
    <w:abstractNumId w:val="55940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145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