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LE TRAN LINH DAN</w:t>
            </w:r>
          </w:p>
          <w:p w:rsidR="00C275A3" w:rsidRDefault="00186641" w:rsidP="00C275A3">
            <w:pPr>
              <w:pStyle w:val="Hallgatokepzes"/>
            </w:pPr>
            <w:r w:rsidRPr="002361E2">
              <w:rPr>
                <w:i/>
              </w:rPr>
              <w:t>danle.unideb@gmail.com</w:t>
            </w:r>
            <w:r w:rsidRPr="002361E2">
              <w:rPr>
                <w:i/>
              </w:rPr>
              <w:br/>
            </w:r>
            <w:r w:rsidR="00A96AEC">
              <w:t>Általános orvos</w:t>
            </w:r>
            <w:r w:rsidR="00A96AEC">
              <w:br/>
            </w:r>
            <w:r w:rsidR="00E77B23">
              <w:t>Osztatlan, 7.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 Ádám Fazekas</w:t>
            </w:r>
          </w:p>
          <w:p w:rsidR="00DB4822" w:rsidRDefault="00DB4822" w:rsidP="009763E0">
            <w:pPr>
              <w:pStyle w:val="Konzulensektitulus"/>
            </w:pPr>
            <w:r w:rsidRPr="00DB4822">
              <w:t>PhD hallgató, DE ÁOK</w:t>
            </w:r>
          </w:p>
        </w:tc>
      </w:tr>
      <w:tr w:rsidR="00DB4822" w:rsidTr="00DB4822">
        <w:tc>
          <w:tcPr>
            <w:tcW w:w="9854" w:type="dxa"/>
          </w:tcPr>
          <w:p w:rsidR="00DB4822" w:rsidRPr="00DB4822" w:rsidRDefault="00DB4822" w:rsidP="009763E0">
            <w:pPr>
              <w:pStyle w:val="Konzulenseknev"/>
            </w:pPr>
            <w:r w:rsidRPr="00DB4822">
              <w:t>Prof. Dr. Norbert Németh</w:t>
            </w:r>
          </w:p>
          <w:p w:rsidR="00DB4822" w:rsidRDefault="00DB4822" w:rsidP="009763E0">
            <w:pPr>
              <w:pStyle w:val="Konzulensektitulus"/>
            </w:pPr>
            <w:r w:rsidRPr="00DB4822">
              <w:t>egyetemi tanár,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BGP-15 hatásának vizsgálata patkány microvascularis anastomosisok regenerációjára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BGP-15 is a drug candidate, developed originally for the treatment of insulin resistance. However, it has additional beneficial features such as anti-inflammatory, antiapoptotic, and cytoprotective effects. In vascular anastomosis, regeneration is crucial and largely depends on the proliferation and persistence of fibroblasts and their laying down of new extracellular matrix, all of which provides biomechanical stability. In this study, we examined whether BGP-15 has an advantageous effect on regeneration of microvascular anastomoses.</w:t>
      </w:r>
      <w:r>
        <w:rPr>
          <w:color w:val="000000"/>
          <w:sz w:val="24"/>
          <w:szCs w:val="24"/>
        </w:rPr>
        <w:br/>
        <w:t xml:space="preserve">Materials and Methods: In 14 male Wistar rats (permission reg. nr.: 21/2022/ UDCAW) under anaesthesia the right femoral region was exposed. We transected the femoral artery and end-to-end anastomoses were performed using microsurgical techniques (8 stitches, 10/0 polyamide-6 suture material). Blood flow was measured before and after the procedure and on the 21st day to qualify the functioning of the vessel in the control group (n=7). In addition, in the BGP-15 group (n=7), we inserted a cannula subcutaneously to the femoral anastomosis and administered BGP-15 (15 mg) every second day until the 14th postoperative day. Every week, blood sample was taken from the lateral tail vein to examine hematological and hemorheological parameters. On the 21st day, in anaesthesia, we dissected the anastomosed and the intact contralateral femoral arteries to investigate their tensile strength and histological characteristics.</w:t>
      </w:r>
      <w:r>
        <w:rPr>
          <w:color w:val="000000"/>
          <w:sz w:val="24"/>
          <w:szCs w:val="24"/>
        </w:rPr>
        <w:br/>
        <w:t xml:space="preserve">Results: All anastomoses were performed successfully and there was no aneurysm or major difference in the blood flow values. We found an increase of tensile strength in anastomoses treated with BGP-15 versus the control anastomoses (control group: 0.44±0,04 N, BGP-15 group: 0.71±0.05 N, contralateral arteries: 1.33±0,24 N). In the laboratory results, the white blood cells changed similarly in the groups, while the red blood cell number decreased significantly in the BGP-15 group in the 3rd week. The red blood cell aggregation index showed an increase, while the decreased deformability normalized by the 3rd week in the BGP-15 group.</w:t>
      </w:r>
      <w:r>
        <w:rPr>
          <w:color w:val="000000"/>
          <w:sz w:val="24"/>
          <w:szCs w:val="24"/>
        </w:rPr>
        <w:br/>
        <w:t xml:space="preserve">Conclusion: We concluded that BGP-15 affects the regeneration of the anastomosis of the arteries and after absorption, it had a visible systemic effect. The increased tensile strength of the microvascular anastomosis and the modified attribution of the red blood cells encourage further research. (“OTKA” K-139184)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45573">
    <w:multiLevelType w:val="hybridMultilevel"/>
    <w:lvl w:ilvl="0" w:tplc="19491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45573">
    <w:abstractNumId w:val="15645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801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