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AL-KHAFAJI MURTADHA QAIS MUHSIN</w:t>
            </w:r>
          </w:p>
          <w:p w:rsidR="00C275A3" w:rsidRDefault="00186641" w:rsidP="00C275A3">
            <w:pPr>
              <w:pStyle w:val="Hallgatokepzes"/>
            </w:pPr>
            <w:r w:rsidRPr="002361E2">
              <w:rPr>
                <w:i/>
              </w:rPr>
              <w:t>murtadhaqais7@hotmail.com</w:t>
            </w:r>
            <w:r w:rsidRPr="002361E2">
              <w:rPr>
                <w:i/>
              </w:rPr>
              <w:br/>
            </w:r>
            <w:r w:rsidR="00A96AEC">
              <w:t>Általános orvos</w:t>
            </w:r>
            <w:r w:rsidR="00A96AEC">
              <w:br/>
            </w:r>
            <w:r w:rsidR="00E77B23">
              <w:t>Osztatlan, 9. félév</w:t>
            </w:r>
          </w:p>
          <w:p w:rsidR="00C265CE" w:rsidRPr="009E5FF1" w:rsidRDefault="00E77B23" w:rsidP="009763E0">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Ádám Varga</w:t>
            </w:r>
          </w:p>
          <w:p w:rsidR="00DB4822" w:rsidRDefault="00DB4822" w:rsidP="009763E0">
            <w:pPr>
              <w:pStyle w:val="Konzulensektitulus"/>
            </w:pPr>
            <w:r w:rsidRPr="00DB4822">
              <w:t>PhD hallgató, DE ÁOK</w:t>
            </w:r>
          </w:p>
        </w:tc>
      </w:tr>
      <w:tr w:rsidR="00DB4822" w:rsidTr="00DB4822">
        <w:tc>
          <w:tcPr>
            <w:tcW w:w="9854" w:type="dxa"/>
          </w:tcPr>
          <w:p w:rsidR="00DB4822" w:rsidRPr="00DB4822" w:rsidRDefault="00DB4822" w:rsidP="009763E0">
            <w:pPr>
              <w:pStyle w:val="Konzulenseknev"/>
            </w:pPr>
            <w:r w:rsidRPr="00DB4822">
              <w:t>Prof. Dr. Norbert Németh</w:t>
            </w:r>
          </w:p>
          <w:p w:rsidR="00DB4822" w:rsidRDefault="00DB4822" w:rsidP="009763E0">
            <w:pPr>
              <w:pStyle w:val="Konzulensektitulus"/>
            </w:pPr>
            <w:r w:rsidRPr="00DB4822">
              <w:t>egyetemi tanár,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Vékonybél end-to-end anasztomózisok mikrocirkulációs és szöveti szakítószilárdság változásai kísérletes sebészeti nagyállat modellben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Sufficient perfusion and microcirculation are key factors in the healing and success of the intestinal anastomoses. Disturbed, impaired microcirculation may lead to increased bacterial translocation and anastomosis insufficiency. Thus, during skeletization it is important to estimate well the optimal distance of the anastomosis line from the last order mesenterial vessels. However, it is still empiric. In this porcine study our aim was to investigate the microcirculation of the bowel wall at various distances from the anastomosis together with tensile strength.</w:t>
      </w:r>
      <w:r>
        <w:rPr>
          <w:color w:val="000000"/>
          <w:sz w:val="24"/>
          <w:szCs w:val="24"/>
        </w:rPr>
        <w:br/>
        <w:t xml:space="preserve">Materials and Methods: Eight female juvenile pigs were anaesthetized (permission reg. nr.: 24/2016/UDCAW and 16/2018/UDCAW). Via paramedian laparotomy end-to-end jejuno-jejunostomy was perfomed using Mikulicz-stitches (4/0, monofilament suture material, serosa needle). A Cytocam-IDF imaging device was used for microcirculatory measurements taken just before performing the anastomoses at the site of the planned suture line, and 1 to 3 mesenterial vessel mural trunk distance from it, as well as at the same sites 15 and 120 minutes after finishing the anastomoses. After the last measurement the anastomosed and an intact bowel segments were removed. Using a device based on a single-point load transducer, the tensile strength of the intact and anastomosed bowel segments was determined.</w:t>
      </w:r>
      <w:r>
        <w:rPr>
          <w:color w:val="000000"/>
          <w:sz w:val="24"/>
          <w:szCs w:val="24"/>
        </w:rPr>
        <w:br/>
        <w:t xml:space="preserve">Results: We found that the proportion of perfused vessels and the density of perfused vessels significantly decreased after completing the anastomosis. The perfusion rate increased gradually away from the anastomosis, and 2 hours after finishing the anastomoses these values seemed to normalise. Total vessel density values did not change. The maximal tensile strength of the anastomised small intestine segments (9.6±3 N) was significantly lower than the values of the intact bowel part (17.5±4.4 N, p&lt;0.001). The slope of the tensile strength curves was significantly higher in intact segments (p&lt;0.001). We also observed that the bowel wall at the sites of the intestinal clamps weakened.</w:t>
      </w:r>
      <w:r>
        <w:rPr>
          <w:color w:val="000000"/>
          <w:sz w:val="24"/>
          <w:szCs w:val="24"/>
        </w:rPr>
        <w:br/>
        <w:t xml:space="preserve">Conclusion: The Cytocam device was useful to monitor intestinal microcirculation providing data to estimate better the optimal distance of the anastomosis from the last order mesenteric vessel. These results are encouraging to continue the study investigating further the optimization of time factor, circumstances of intestinal clamp usage and the long-term microcirculatory changes affecting anastomosis healing. (“OTKA” K-139184)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675055">
    <w:multiLevelType w:val="hybridMultilevel"/>
    <w:lvl w:ilvl="0" w:tplc="666060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675055">
    <w:abstractNumId w:val="316750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62012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