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TORNER BERNADETT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bernadett.torner@gmail.com</w:t>
            </w:r>
            <w:r w:rsidRPr="002361E2">
              <w:rPr>
                <w:i/>
              </w:rPr>
              <w:br/>
            </w:r>
            <w:r w:rsidR="00A96AEC">
              <w:t>Molekuláris 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Hádáné Dr. Birkó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Géczi Dóra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miRNS szerepének vizsgálata a glioblasztóma (GBM) diagnosztikájában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glioblasztóma (GBM) a leggyakoribb és legnehezebben kezelhető primer agytumor, amely a központi idegrendszert érintő daganatos megbetegedések közel 20%-át teszi ki. Az utóbbi években elért jelentős terápiás fejlődés ellenére a malignus gliomák sikeres kezelése és kiújulásának monitorozása továbbra is nagy kihívást jelent, ezért szükség van új biomarkerek azonosítására, mint például a miRNS-ek. A miRNS-ek több mRNS transzlációját is befolyásolhatják, továbbá a miRNS deregulációja élettani funkciók megváltozásához, például daganatok kialakulásához vezethet.</w:t>
      </w:r>
      <w:r>
        <w:rPr>
          <w:color w:val="000000"/>
          <w:sz w:val="24"/>
          <w:szCs w:val="24"/>
        </w:rPr>
        <w:br/>
        <w:t xml:space="preserve">Célul tűztük ki totál RNS izolálását 6 GBM-ás betegből származó peritumorális agyszövet mintából és 6 metasztázist nem mutató malignus GBM-ás betegből származó szövetmintából, valamint a 12 izolált totál RNS minta Új Generációs RNS Szekvenálását és bioinformatikai elemzését. Terveztük továbbá a miRNS szekvenálás eredményének validálását RT-qPCRrel. A kísérlet célja azon miRNS-ek azonosítása volt, melyek szignifikánsan túl-, vagy alulreprezentáltak a GBM-ban.</w:t>
      </w:r>
      <w:r>
        <w:rPr>
          <w:color w:val="000000"/>
          <w:sz w:val="24"/>
          <w:szCs w:val="24"/>
        </w:rPr>
        <w:br/>
        <w:t xml:space="preserve">A 12 szövet mintából történő totál RNS izolálás miRNeasy Mini Kit (Qiagen) használatával zajlott. Az Új Generációs RNS Szekvenálást az UD Genomed végezte, a szekvenálás eredményeinek elemzése pedig az iDEP.94 programmal történt. A validálásra kiválasztott, izolált miRNS-ek cDNS átírására miScript II RT Kit-et (Qiagen) alkalmaztunk. Az RT-qPCR</w:t>
      </w:r>
      <w:r>
        <w:rPr>
          <w:color w:val="000000"/>
          <w:sz w:val="24"/>
          <w:szCs w:val="24"/>
        </w:rPr>
        <w:br/>
        <w:t xml:space="preserve">reakció pedig miScriptSYBR Green PCR Kit-el (Qiagen) történt. A bioinformatikai elemzés során Mann-Whitney U teszttel szűrtük a szignifikáns eltérést mutató miRNS-eket. A kiválasztott miRNS-ek targetjeit miRTargetLink 2.0-val határoztuk meg.</w:t>
      </w:r>
      <w:r>
        <w:rPr>
          <w:color w:val="000000"/>
          <w:sz w:val="24"/>
          <w:szCs w:val="24"/>
        </w:rPr>
        <w:br/>
        <w:t xml:space="preserve">A szekvenálási eredmények bioinformatikai elemzését követően 4 miRNS: a miR-196a-5p, miR-10b-3p, miR-503-5p és a miR-92b-5p került kiválasztásra, melyek jelentősen felülszabályozódtak a GBM-ás mintákban a kontroll mintákhoz képest. Az RT-qPCR-al történő validálás eredményeképp a miR-196a-5p és a miR-10b-3p expressziós szintje mutatott szignifikáns eltérést, míg a miR-503-5p és a miR-92b-5p esetében a p érték meghaladta a 0.05-ös értéket, tehát nem mutatott szignifikanciát.</w:t>
      </w:r>
      <w:r>
        <w:rPr>
          <w:color w:val="000000"/>
          <w:sz w:val="24"/>
          <w:szCs w:val="24"/>
        </w:rPr>
        <w:br/>
        <w:t xml:space="preserve">Konklúzióként elmondhatjuk, hogy a miR-196a-5p és a miR-10b-3p ígéretes biomarker jelöltek lehetnek a GBM diagnosztikájában.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78909">
    <w:multiLevelType w:val="hybridMultilevel"/>
    <w:lvl w:ilvl="0" w:tplc="749258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78909">
    <w:abstractNumId w:val="950789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15729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