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takacs98balint19@gmail.com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Szilágyi-Bónizs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kései ösztrogén válaszban közreműködő mikroRNS-ek azonosítása ovárium sejtkultúrákban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petefészekrák az egyik leghalálosabb daganatos betegség, melynek kialakulásában</w:t>
      </w:r>
      <w:r>
        <w:rPr>
          <w:color w:val="000000"/>
          <w:sz w:val="24"/>
          <w:szCs w:val="24"/>
        </w:rPr>
        <w:br/>
        <w:t xml:space="preserve">szerepet kap az ösztrogének hatása, az ovárium sejtek proliferációs, ill. inváziós</w:t>
      </w:r>
      <w:r>
        <w:rPr>
          <w:color w:val="000000"/>
          <w:sz w:val="24"/>
          <w:szCs w:val="24"/>
        </w:rPr>
        <w:br/>
        <w:t xml:space="preserve">képességének fokozásán keresztül. A mikroRNS-ek olyan kis, nem-kódoló RNS molekulák,</w:t>
      </w:r>
      <w:r>
        <w:rPr>
          <w:color w:val="000000"/>
          <w:sz w:val="24"/>
          <w:szCs w:val="24"/>
        </w:rPr>
        <w:br/>
        <w:t xml:space="preserve">amelyek közreműködhetnek az ösztrogének hatásmechanizmusában. Korábbi vizsgálataink</w:t>
      </w:r>
      <w:r>
        <w:rPr>
          <w:color w:val="000000"/>
          <w:sz w:val="24"/>
          <w:szCs w:val="24"/>
        </w:rPr>
        <w:br/>
        <w:t xml:space="preserve">alkalmával sikerült azonosítanunk több miRNS-t, amelyek szerepet tölthetnek be az</w:t>
      </w:r>
      <w:r>
        <w:rPr>
          <w:color w:val="000000"/>
          <w:sz w:val="24"/>
          <w:szCs w:val="24"/>
        </w:rPr>
        <w:br/>
        <w:t xml:space="preserve">ösztrogének által indukált korai (8h) gén expressziós változások poszt-transzkripcionális</w:t>
      </w:r>
      <w:r>
        <w:rPr>
          <w:color w:val="000000"/>
          <w:sz w:val="24"/>
          <w:szCs w:val="24"/>
        </w:rPr>
        <w:br/>
        <w:t xml:space="preserve">szabályozásában. Jelen munkánk célja a kései (24h) ösztrogén hatásban közreműködő</w:t>
      </w:r>
      <w:r>
        <w:rPr>
          <w:color w:val="000000"/>
          <w:sz w:val="24"/>
          <w:szCs w:val="24"/>
        </w:rPr>
        <w:br/>
        <w:t xml:space="preserve">miRNS-ek azonosítása volt.</w:t>
      </w:r>
      <w:r>
        <w:rPr>
          <w:color w:val="000000"/>
          <w:sz w:val="24"/>
          <w:szCs w:val="24"/>
        </w:rPr>
        <w:br/>
        <w:t xml:space="preserve">Vizsgálatunk során a PEO1 sejtvonalat alkalmaztuk, amelyet 10 nM ösztradiol kezelésnek</w:t>
      </w:r>
      <w:r>
        <w:rPr>
          <w:color w:val="000000"/>
          <w:sz w:val="24"/>
          <w:szCs w:val="24"/>
        </w:rPr>
        <w:br/>
        <w:t xml:space="preserve">vetettünk alá. A változott expressziót mutató miRNS-eket szekvenálás segítségével</w:t>
      </w:r>
      <w:r>
        <w:rPr>
          <w:color w:val="000000"/>
          <w:sz w:val="24"/>
          <w:szCs w:val="24"/>
        </w:rPr>
        <w:br/>
        <w:t xml:space="preserve">azonosítottuk (Illumina Nextseq500). Az azonosított miRNS-eket bioinformatikai</w:t>
      </w:r>
      <w:r>
        <w:rPr>
          <w:color w:val="000000"/>
          <w:sz w:val="24"/>
          <w:szCs w:val="24"/>
        </w:rPr>
        <w:br/>
        <w:t xml:space="preserve">analízisnek vetettük alá, a miRNet, KEGG, GO_BP adatbázisok felhasználásával. Ezt</w:t>
      </w:r>
      <w:r>
        <w:rPr>
          <w:color w:val="000000"/>
          <w:sz w:val="24"/>
          <w:szCs w:val="24"/>
        </w:rPr>
        <w:br/>
        <w:t xml:space="preserve">követően 5 miRNS (miR-26b-3p, miR-193a-3p, miR-505-3p, miR-7-5p, miR-583-3p)</w:t>
      </w:r>
      <w:r>
        <w:rPr>
          <w:color w:val="000000"/>
          <w:sz w:val="24"/>
          <w:szCs w:val="24"/>
        </w:rPr>
        <w:br/>
        <w:t xml:space="preserve">expressziójának változását qPCR segítségével vizsgáltuk tovább.</w:t>
      </w:r>
      <w:r>
        <w:rPr>
          <w:color w:val="000000"/>
          <w:sz w:val="24"/>
          <w:szCs w:val="24"/>
        </w:rPr>
        <w:br/>
        <w:t xml:space="preserve">Eredményeink alapján 21 miRNS expressziója mutatott szignifikáns elmozdulást 24h-val az</w:t>
      </w:r>
      <w:r>
        <w:rPr>
          <w:color w:val="000000"/>
          <w:sz w:val="24"/>
          <w:szCs w:val="24"/>
        </w:rPr>
        <w:br/>
        <w:t xml:space="preserve">ösztradiol kezelést követően, melyek közül 13 esetén repressziót (log2FC&lt;-1), 8 esetén</w:t>
      </w:r>
      <w:r>
        <w:rPr>
          <w:color w:val="000000"/>
          <w:sz w:val="24"/>
          <w:szCs w:val="24"/>
        </w:rPr>
        <w:br/>
        <w:t xml:space="preserve">indukciót (log2FC&gt;1) tapasztaltunk. A miRNet szoftverrel végzett hálózat analízis alapján,</w:t>
      </w:r>
      <w:r>
        <w:rPr>
          <w:color w:val="000000"/>
          <w:sz w:val="24"/>
          <w:szCs w:val="24"/>
        </w:rPr>
        <w:br/>
        <w:t xml:space="preserve">mind a represszált, mind az indukált miRNS-ek képesek voltak kiterjedt hálózatok</w:t>
      </w:r>
      <w:r>
        <w:rPr>
          <w:color w:val="000000"/>
          <w:sz w:val="24"/>
          <w:szCs w:val="24"/>
        </w:rPr>
        <w:br/>
        <w:t xml:space="preserve">kialakítására. Ezen felül, target génjeik erős dúsulást mutattak a sejtproliferációhoz,</w:t>
      </w:r>
      <w:r>
        <w:rPr>
          <w:color w:val="000000"/>
          <w:sz w:val="24"/>
          <w:szCs w:val="24"/>
        </w:rPr>
        <w:br/>
        <w:t xml:space="preserve">sejthalálhoz, ill. migrációhoz köthető folyamatokban. Ezen miRNS-ek több daganattípus</w:t>
      </w:r>
      <w:r>
        <w:rPr>
          <w:color w:val="000000"/>
          <w:sz w:val="24"/>
          <w:szCs w:val="24"/>
        </w:rPr>
        <w:br/>
        <w:t xml:space="preserve">kialakulásához köthető folyamatban is halmozódást mutattak a KEGG adatbázis alapján.</w:t>
      </w:r>
      <w:r>
        <w:rPr>
          <w:color w:val="000000"/>
          <w:sz w:val="24"/>
          <w:szCs w:val="24"/>
        </w:rPr>
        <w:br/>
        <w:t xml:space="preserve">QPCR segítségével a miR-26b-3p és miR-505-3p represszióját sikerült validálnunk, amelyek</w:t>
      </w:r>
      <w:r>
        <w:rPr>
          <w:color w:val="000000"/>
          <w:sz w:val="24"/>
          <w:szCs w:val="24"/>
        </w:rPr>
        <w:br/>
        <w:t xml:space="preserve">ismert tumor szupresszorok. Emellett sikerült megerősítenünk a miR-7-5p - amely onkogén</w:t>
      </w:r>
      <w:r>
        <w:rPr>
          <w:color w:val="000000"/>
          <w:sz w:val="24"/>
          <w:szCs w:val="24"/>
        </w:rPr>
        <w:br/>
        <w:t xml:space="preserve">hatással rendelkezik - és a miR-582-3p indukcióját - mely tumorok, ill. tumor őssejtek</w:t>
      </w:r>
      <w:r>
        <w:rPr>
          <w:color w:val="000000"/>
          <w:sz w:val="24"/>
          <w:szCs w:val="24"/>
        </w:rPr>
        <w:br/>
        <w:t xml:space="preserve">kialakulásában betöltött szerepe szintén ismert.</w:t>
      </w:r>
      <w:r>
        <w:rPr>
          <w:color w:val="000000"/>
          <w:sz w:val="24"/>
          <w:szCs w:val="24"/>
        </w:rPr>
        <w:br/>
        <w:t xml:space="preserve">Munkánk során sikerült több olyan miRNS-t azonosítanunk, amelyek hozzájárulhatnak az</w:t>
      </w:r>
      <w:r>
        <w:rPr>
          <w:color w:val="000000"/>
          <w:sz w:val="24"/>
          <w:szCs w:val="24"/>
        </w:rPr>
        <w:br/>
        <w:t xml:space="preserve">ösztrogének proliferatív hatásának kifejtéséhez.</w:t>
      </w:r>
      <w:r>
        <w:rPr>
          <w:color w:val="000000"/>
          <w:sz w:val="24"/>
          <w:szCs w:val="24"/>
        </w:rPr>
        <w:br/>
        <w:t xml:space="preserve">Pályázat: UNKP-22-2-I-DE-253, NKFI-FK138021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22697">
    <w:multiLevelType w:val="hybridMultilevel"/>
    <w:lvl w:ilvl="0" w:tplc="69880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22697">
    <w:abstractNumId w:val="82122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529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