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MARCELL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pamarc98@gmail.com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Barna Sándor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MultiPinHole kollimátor technikai előnyei DaTscan SPECT/CT vizsgálatokban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I-123 Ioflupane egy olyan radiofarmakon, amelyet a Parkinson-szindróma elkülönítésére</w:t>
      </w:r>
      <w:r>
        <w:rPr>
          <w:color w:val="000000"/>
          <w:sz w:val="24"/>
          <w:szCs w:val="24"/>
        </w:rPr>
        <w:br/>
        <w:t xml:space="preserve">használnak a hasonló klinikai tüneteket mutató esszenciális tremor valamint gyógyszer-</w:t>
      </w:r>
      <w:r>
        <w:rPr>
          <w:color w:val="000000"/>
          <w:sz w:val="24"/>
          <w:szCs w:val="24"/>
        </w:rPr>
        <w:br/>
        <w:t xml:space="preserve">indukálta parkinsonizmus kórképeitől. Korábbi, elsősorban fantomokkal végzett vizsgálatok</w:t>
      </w:r>
      <w:r>
        <w:rPr>
          <w:color w:val="000000"/>
          <w:sz w:val="24"/>
          <w:szCs w:val="24"/>
        </w:rPr>
        <w:br/>
        <w:t xml:space="preserve">rámutattak, hogy a „kis” szervek célzott vizsgálatára fejlesztett MultiPinHole (MPH)</w:t>
      </w:r>
      <w:r>
        <w:rPr>
          <w:color w:val="000000"/>
          <w:sz w:val="24"/>
          <w:szCs w:val="24"/>
        </w:rPr>
        <w:br/>
        <w:t xml:space="preserve">kollimátor használata, DaTscan esetében jelentős minőségbeli előnyökkel jár.</w:t>
      </w:r>
      <w:r>
        <w:rPr>
          <w:color w:val="000000"/>
          <w:sz w:val="24"/>
          <w:szCs w:val="24"/>
        </w:rPr>
        <w:br/>
        <w:t xml:space="preserve">Célunk annak felmérése, hogy a MPH kollimátorral végzett DaTscan SPECT vizsgálatok</w:t>
      </w:r>
      <w:r>
        <w:rPr>
          <w:color w:val="000000"/>
          <w:sz w:val="24"/>
          <w:szCs w:val="24"/>
        </w:rPr>
        <w:br/>
        <w:t xml:space="preserve">gyűjtési ideje csökkenthető-e a diagnosztikai képminőség megtartásával.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185 MBq I-123 Ioflupane (DaTscan) iv. injekció beadása után SPECT adatgyűjtést</w:t>
      </w:r>
      <w:r>
        <w:rPr>
          <w:color w:val="000000"/>
          <w:sz w:val="24"/>
          <w:szCs w:val="24"/>
        </w:rPr>
        <w:br/>
        <w:t xml:space="preserve">végeztünk MPH kollimátorral felszerelt AnyScan TRIO SPECT/CT kamerán.</w:t>
      </w:r>
      <w:r>
        <w:rPr>
          <w:color w:val="000000"/>
          <w:sz w:val="24"/>
          <w:szCs w:val="24"/>
        </w:rPr>
        <w:br/>
        <w:t xml:space="preserve">A csökkentett gyűjtési időt következőképpen modelleztük: LIST módú képeket újra</w:t>
      </w:r>
      <w:r>
        <w:rPr>
          <w:color w:val="000000"/>
          <w:sz w:val="24"/>
          <w:szCs w:val="24"/>
        </w:rPr>
        <w:br/>
        <w:t xml:space="preserve">mintavételeztük fele és harmad képidővel. Mindkét esetben Tera-Tomo 3D SPECT Q CT</w:t>
      </w:r>
      <w:r>
        <w:rPr>
          <w:color w:val="000000"/>
          <w:sz w:val="24"/>
          <w:szCs w:val="24"/>
        </w:rPr>
        <w:br/>
        <w:t xml:space="preserve">attenuáció korrigált rekonstrukciót alkalmaztunk, a rövidebb gyűjtési idejű képek esetén</w:t>
      </w:r>
      <w:r>
        <w:rPr>
          <w:color w:val="000000"/>
          <w:sz w:val="24"/>
          <w:szCs w:val="24"/>
        </w:rPr>
        <w:br/>
        <w:t xml:space="preserve">kevesebb iterációs számmal.</w:t>
      </w:r>
      <w:r>
        <w:rPr>
          <w:color w:val="000000"/>
          <w:sz w:val="24"/>
          <w:szCs w:val="24"/>
        </w:rPr>
        <w:br/>
        <w:t xml:space="preserve">A rekonstruált SPECT képeket a Pinax Pharma easyDAT rendszerrel elemeztük. Az</w:t>
      </w:r>
      <w:r>
        <w:rPr>
          <w:color w:val="000000"/>
          <w:sz w:val="24"/>
          <w:szCs w:val="24"/>
        </w:rPr>
        <w:br/>
        <w:t xml:space="preserve">eredménylapokat randomizáltuk és 5 szakorvos vizuálisan („vakon”) értékelte a képeket. Az</w:t>
      </w:r>
      <w:r>
        <w:rPr>
          <w:color w:val="000000"/>
          <w:sz w:val="24"/>
          <w:szCs w:val="24"/>
        </w:rPr>
        <w:br/>
        <w:t xml:space="preserve">elemzőszoftver által mért striátum ROI-k értékeit táblázatba foglaltuk.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29 beteget vizsgáltunk meg. Az egyes értékelők között szignifikáns eltérések voltak a grádus</w:t>
      </w:r>
      <w:r>
        <w:rPr>
          <w:color w:val="000000"/>
          <w:sz w:val="24"/>
          <w:szCs w:val="24"/>
        </w:rPr>
        <w:br/>
        <w:t xml:space="preserve">meghatározásában (Friedman P &lt;0,001), azonban érdemi különbség az egészséges (grade 0)</w:t>
      </w:r>
      <w:r>
        <w:rPr>
          <w:color w:val="000000"/>
          <w:sz w:val="24"/>
          <w:szCs w:val="24"/>
        </w:rPr>
        <w:br/>
        <w:t xml:space="preserve">és kóros (grade 1-3) vizsgálatok elkülönítésében, valamint a dott képpárok vonatkozásában</w:t>
      </w:r>
      <w:r>
        <w:rPr>
          <w:color w:val="000000"/>
          <w:sz w:val="24"/>
          <w:szCs w:val="24"/>
        </w:rPr>
        <w:br/>
        <w:t xml:space="preserve">az értékelő orvosok pontszámai között, sem összessítve sem egyénenként nem mutatkozott</w:t>
      </w:r>
      <w:r>
        <w:rPr>
          <w:color w:val="000000"/>
          <w:sz w:val="24"/>
          <w:szCs w:val="24"/>
        </w:rPr>
        <w:br/>
        <w:t xml:space="preserve">szignifikáns különbség (Wilcoxon próba P &gt;0,1). A felezett idejű képből számolt ROI-</w:t>
      </w:r>
      <w:r>
        <w:rPr>
          <w:color w:val="000000"/>
          <w:sz w:val="24"/>
          <w:szCs w:val="24"/>
        </w:rPr>
        <w:br/>
        <w:t xml:space="preserve">értékek és az azokból kapott arányok jól közelítik az eredeti kép eredményét, míg a</w:t>
      </w:r>
      <w:r>
        <w:rPr>
          <w:color w:val="000000"/>
          <w:sz w:val="24"/>
          <w:szCs w:val="24"/>
        </w:rPr>
        <w:br/>
        <w:t xml:space="preserve">harmadidős gyengén korrelál (Spearman-féle korrelációs együttható p=0.857), valamint a</w:t>
      </w:r>
      <w:r>
        <w:rPr>
          <w:color w:val="000000"/>
          <w:sz w:val="24"/>
          <w:szCs w:val="24"/>
        </w:rPr>
        <w:br/>
        <w:t xml:space="preserve">rövidebb gyüjtésből származó adatok felfelé torzítanak.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Eredményeink alapján a MPH kollimátor használata DaTscan vizsgálat során lehetőséget ad</w:t>
      </w:r>
      <w:r>
        <w:rPr>
          <w:color w:val="000000"/>
          <w:sz w:val="24"/>
          <w:szCs w:val="24"/>
        </w:rPr>
        <w:br/>
        <w:t xml:space="preserve">a vizsgálati idő és/vagy az injektált aktivitás felezésére, megőrzött diagnoszikai pontosság</w:t>
      </w:r>
      <w:r>
        <w:rPr>
          <w:color w:val="000000"/>
          <w:sz w:val="24"/>
          <w:szCs w:val="24"/>
        </w:rPr>
        <w:br/>
        <w:t xml:space="preserve">mellett, mellyel vagy vizsgálati idő, vagy sugárterhelés csökkentés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03017">
    <w:multiLevelType w:val="hybridMultilevel"/>
    <w:lvl w:ilvl="0" w:tplc="73004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03017">
    <w:abstractNumId w:val="13403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969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