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BEDE ÁKOS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bedeakos1000@gmail.com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VÁRÓCZY CSONGOR ATTILA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csongor.varoczy@gmail.com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3.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Virág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Isotta Sturniolo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PARP-14 ENZIM LEHETSÉGES SZEREPE A TUMOR-ASSZOCIÁLT MAKROFÁG FENOTÍPUS KIALAKULÁSÁBAN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daganatos sejtek elpusztításában fontos szerepe van az immunrendszer</w:t>
      </w:r>
      <w:r>
        <w:rPr>
          <w:color w:val="000000"/>
          <w:sz w:val="24"/>
          <w:szCs w:val="24"/>
        </w:rPr>
        <w:br/>
        <w:t xml:space="preserve">hatékony működésének. A makrofágok részben a fagocitózis, részben az általuk kibocsátott</w:t>
      </w:r>
      <w:r>
        <w:rPr>
          <w:color w:val="000000"/>
          <w:sz w:val="24"/>
          <w:szCs w:val="24"/>
        </w:rPr>
        <w:br/>
        <w:t xml:space="preserve">mediátorok révén vesznek részt a tumorsejtek elleni küzdelemben. A makrofágok citokin</w:t>
      </w:r>
      <w:r>
        <w:rPr>
          <w:color w:val="000000"/>
          <w:sz w:val="24"/>
          <w:szCs w:val="24"/>
        </w:rPr>
        <w:br/>
        <w:t xml:space="preserve">expressziós profiljuk és az immunsejtekkel folytatott interakciójuk alapján két kategóriába</w:t>
      </w:r>
      <w:r>
        <w:rPr>
          <w:color w:val="000000"/>
          <w:sz w:val="24"/>
          <w:szCs w:val="24"/>
        </w:rPr>
        <w:br/>
        <w:t xml:space="preserve">sorolhatók. Az M1 fenotípusú makrofágok jellemzően gyulladásos választ provokálnak és</w:t>
      </w:r>
      <w:r>
        <w:rPr>
          <w:color w:val="000000"/>
          <w:sz w:val="24"/>
          <w:szCs w:val="24"/>
        </w:rPr>
        <w:br/>
        <w:t xml:space="preserve">segítik a celluláris immunválasz kialakulását, míg az M2 makrofág sejtek a szöveti</w:t>
      </w:r>
      <w:r>
        <w:rPr>
          <w:color w:val="000000"/>
          <w:sz w:val="24"/>
          <w:szCs w:val="24"/>
        </w:rPr>
        <w:br/>
        <w:t xml:space="preserve">regenerációt és angiogenezist támogatják. A daganatok mikrokörnyezetében a tumorsejtek</w:t>
      </w:r>
      <w:r>
        <w:rPr>
          <w:color w:val="000000"/>
          <w:sz w:val="24"/>
          <w:szCs w:val="24"/>
        </w:rPr>
        <w:br/>
        <w:t xml:space="preserve">az M2 fenotípus irányába polarizálják a makrofágokat és az így kialakult tumor asszociált</w:t>
      </w:r>
      <w:r>
        <w:rPr>
          <w:color w:val="000000"/>
          <w:sz w:val="24"/>
          <w:szCs w:val="24"/>
        </w:rPr>
        <w:br/>
        <w:t xml:space="preserve">makrofágok (TAM) a daganat növekedését és a metasztázis képzést fokozzák.</w:t>
      </w:r>
      <w:r>
        <w:rPr>
          <w:color w:val="000000"/>
          <w:sz w:val="24"/>
          <w:szCs w:val="24"/>
        </w:rPr>
        <w:br/>
        <w:t xml:space="preserve">Célkitűzés: Kutatásaink során azt vizsgáltuk, hogy a DNS hibajavítás, a génexpresszió és a</w:t>
      </w:r>
      <w:r>
        <w:rPr>
          <w:color w:val="000000"/>
          <w:sz w:val="24"/>
          <w:szCs w:val="24"/>
        </w:rPr>
        <w:br/>
        <w:t xml:space="preserve">differenciáció szabályozásában szerepet játszó poli-ADP-ribóz polimeráz (PARP) enzimek</w:t>
      </w:r>
      <w:r>
        <w:rPr>
          <w:color w:val="000000"/>
          <w:sz w:val="24"/>
          <w:szCs w:val="24"/>
        </w:rPr>
        <w:br/>
        <w:t xml:space="preserve">hogyan befolyásolják a makrofágok M2 irányú polarizációját in vitro körülmények között.</w:t>
      </w:r>
      <w:r>
        <w:rPr>
          <w:color w:val="000000"/>
          <w:sz w:val="24"/>
          <w:szCs w:val="24"/>
        </w:rPr>
        <w:br/>
        <w:t xml:space="preserve">Módszerek: Kísérleteinket egy három dimenziós daganatsejt-makrofág ko-kultúra</w:t>
      </w:r>
      <w:r>
        <w:rPr>
          <w:color w:val="000000"/>
          <w:sz w:val="24"/>
          <w:szCs w:val="24"/>
        </w:rPr>
        <w:br/>
        <w:t xml:space="preserve">rendszeren végeztük. Ehhez THP-1 monocyta sejtekből differenciáltattunk makrofágokat,</w:t>
      </w:r>
      <w:r>
        <w:rPr>
          <w:color w:val="000000"/>
          <w:sz w:val="24"/>
          <w:szCs w:val="24"/>
        </w:rPr>
        <w:br/>
        <w:t xml:space="preserve">majd ezeket 1:1 arányban JIMT-1 emlőrák sejtekkel inkubáltuk. Az így kialakult</w:t>
      </w:r>
      <w:r>
        <w:rPr>
          <w:color w:val="000000"/>
          <w:sz w:val="24"/>
          <w:szCs w:val="24"/>
        </w:rPr>
        <w:br/>
        <w:t xml:space="preserve">szferoidokon egy szélesebb spektrumú (PJ-34) és egy PARP-14 enzimre specifikus inhibitor</w:t>
      </w:r>
      <w:r>
        <w:rPr>
          <w:color w:val="000000"/>
          <w:sz w:val="24"/>
          <w:szCs w:val="24"/>
        </w:rPr>
        <w:br/>
        <w:t xml:space="preserve">(MCD-113) hatását vizsgáltuk úgy, hogy a gátlószerrel való kezelés után RT-qPCR</w:t>
      </w:r>
      <w:r>
        <w:rPr>
          <w:color w:val="000000"/>
          <w:sz w:val="24"/>
          <w:szCs w:val="24"/>
        </w:rPr>
        <w:br/>
        <w:t xml:space="preserve">módszerrel mértük az M2 makrofágokra jellemző markerek (CCL17, CCL18, MRC-1,</w:t>
      </w:r>
      <w:r>
        <w:rPr>
          <w:color w:val="000000"/>
          <w:sz w:val="24"/>
          <w:szCs w:val="24"/>
        </w:rPr>
        <w:br/>
        <w:t xml:space="preserve">Fibronektin) expresszióját. A sejthalált fluoreszcens festést (Annexin-V) követően</w:t>
      </w:r>
      <w:r>
        <w:rPr>
          <w:color w:val="000000"/>
          <w:sz w:val="24"/>
          <w:szCs w:val="24"/>
        </w:rPr>
        <w:br/>
        <w:t xml:space="preserve">kvantitatív sejtanalízissel vizsgáltuk.</w:t>
      </w:r>
      <w:r>
        <w:rPr>
          <w:color w:val="000000"/>
          <w:sz w:val="24"/>
          <w:szCs w:val="24"/>
        </w:rPr>
        <w:br/>
        <w:t xml:space="preserve">Eredmények: Eredményeink azt mutatták, hogy mindkét gátlószer használatakor az</w:t>
      </w:r>
      <w:r>
        <w:rPr>
          <w:color w:val="000000"/>
          <w:sz w:val="24"/>
          <w:szCs w:val="24"/>
        </w:rPr>
        <w:br/>
        <w:t xml:space="preserve">inhibitorral kezelt szferoidoknál szignifikánsan alacsonyabb volt az M2 markerek</w:t>
      </w:r>
      <w:r>
        <w:rPr>
          <w:color w:val="000000"/>
          <w:sz w:val="24"/>
          <w:szCs w:val="24"/>
        </w:rPr>
        <w:br/>
        <w:t xml:space="preserve">kifejeződése a kontroll csoporthoz viszonyítva. A PJ-34 gátlószer továbbá növelte a</w:t>
      </w:r>
      <w:r>
        <w:rPr>
          <w:color w:val="000000"/>
          <w:sz w:val="24"/>
          <w:szCs w:val="24"/>
        </w:rPr>
        <w:br/>
        <w:t xml:space="preserve">szferoidban az apoptotikus sejthalál mértékét és magasabbnak mutatkozott az elhalt</w:t>
      </w:r>
      <w:r>
        <w:rPr>
          <w:color w:val="000000"/>
          <w:sz w:val="24"/>
          <w:szCs w:val="24"/>
        </w:rPr>
        <w:br/>
        <w:t xml:space="preserve">tumorsejtek relatív aránya is.</w:t>
      </w:r>
      <w:r>
        <w:rPr>
          <w:color w:val="000000"/>
          <w:sz w:val="24"/>
          <w:szCs w:val="24"/>
        </w:rPr>
        <w:br/>
        <w:t xml:space="preserve">Következtetés: Vizsgálataink megerősítették, hogy a PARP enzimek, és közülük</w:t>
      </w:r>
      <w:r>
        <w:rPr>
          <w:color w:val="000000"/>
          <w:sz w:val="24"/>
          <w:szCs w:val="24"/>
        </w:rPr>
        <w:br/>
        <w:t xml:space="preserve">legdominánsabban a PARP-14 enzim segíti a makrofágok M2 irányú polarizációját és ez a</w:t>
      </w:r>
      <w:r>
        <w:rPr>
          <w:color w:val="000000"/>
          <w:sz w:val="24"/>
          <w:szCs w:val="24"/>
        </w:rPr>
        <w:br/>
        <w:t xml:space="preserve">folyamat enzim inhibitorok alkalmazásával hatékonyan visszaszorítható. Kutatásunk</w:t>
      </w:r>
      <w:r>
        <w:rPr>
          <w:color w:val="000000"/>
          <w:sz w:val="24"/>
          <w:szCs w:val="24"/>
        </w:rPr>
        <w:br/>
        <w:t xml:space="preserve">rávilágít arra, hogy a PARP inhibitorok alkalmazása a makrofág polarizációt gátló hatás és</w:t>
      </w:r>
      <w:r>
        <w:rPr>
          <w:color w:val="000000"/>
          <w:sz w:val="24"/>
          <w:szCs w:val="24"/>
        </w:rPr>
        <w:br/>
        <w:t xml:space="preserve">ennek révén a daganatellenes immunitás fokozása miatt is klinikai jelentőséggel bírhat.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617111">
    <w:multiLevelType w:val="hybridMultilevel"/>
    <w:lvl w:ilvl="0" w:tplc="481387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617111">
    <w:abstractNumId w:val="806171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4545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