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tothklaudia522@gmail.com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Gaál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Gyermekhematológiai-Onkológiai Részlegen akut limfoblasztos leukémia miatt 2000-2019 között diagnosztizált betegek klinikai adatainak retrospektív analízise és összevetése a szakirodalomban közölt adatokkal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malignus megbetegedések közel egyharmadát a leukémiák alkotják, amelynek ¾ részét az akut limfoblasztos leukémia (ALL) képezi.</w:t>
      </w:r>
      <w:r>
        <w:rPr>
          <w:color w:val="000000"/>
          <w:sz w:val="24"/>
          <w:szCs w:val="24"/>
        </w:rPr>
        <w:br/>
        <w:t xml:space="preserve">Módszerek: Kutatásunk során a debreceni Gyermekhematológiai-Onkológiai Részlegen 2000-2019 között diagnosztizált n=141 ALL-es beteg klinikai adatainak retrospektív analízisét végeztük el, melyet összevetettünk a szakirodalomban, illetve a GEO génexpressziós adatbázisban szereplő adatokkal. Az adatgyűjtést az e-MedSolution programmal, illetve a papír alapú dokumentációt áttekintve végeztük. Az adatok statisztikai elemzését a Graphpad Prism 8.0.1. programmal végeztük.</w:t>
      </w:r>
      <w:r>
        <w:rPr>
          <w:color w:val="000000"/>
          <w:sz w:val="24"/>
          <w:szCs w:val="24"/>
        </w:rPr>
        <w:br/>
        <w:t xml:space="preserve">Eredmények: A betegek (54% fiú, 46% lány) átlagéletkora 6,2 év volt. 82.3% (n=116) BCP-ALL, 16.3% (n=23) T-ALL, átlagos csontvelői blaszt arány a diagnózis idején 74.5% volt. Leggyakoribb vérképeltérésként anaemiát (89.4%, n=126) és thrombocytopeniát (84.4%, n=119) észleltünk. A betegek 83%-ánál (n=117) központi idegrendszeri érintettség nem igazolódott. A 8. napon 83.7% (n=118) jó prednisolon-választ (PGR), 9.9% (n=14) rossz prednisolon-választ (PPR) adott. A t(9;22) transzlokáció esetén a PPR (p&lt;0,0001), a t(12;21) transzlokáció esetén a PGR betegek aránya bizonyult szignifikánsan magasabbnak (p=0,024). A 33. napon 81.6% (n=115) volt remisszióban. Transzplantáción 11.3% (n=16) esett át, a relabált betegek aránya 17% (n=24) volt.</w:t>
      </w:r>
      <w:r>
        <w:rPr>
          <w:color w:val="000000"/>
          <w:sz w:val="24"/>
          <w:szCs w:val="24"/>
        </w:rPr>
        <w:br/>
        <w:t xml:space="preserve">Leggyakoribb genetikai eltérésként hiperdiploid kariotípus (26.2%, n=37), számfeletti 21-es kromoszóma (23.4%, n=33), t(12;21) transzlokáció (22.7%, n=32), számfeletti X kromoszóma (16.3%, n=23), TELdel mutáció (9.2%, n=13) továbbá az MLL1 gént érintő átrendeződés (7.1%, n=10) igazolódott. Az MLL1 gén érintettsége esetén szignifikánsan magasabb volt a relapszus gyakorisága (p=0,022).</w:t>
      </w:r>
      <w:r>
        <w:rPr>
          <w:color w:val="000000"/>
          <w:sz w:val="24"/>
          <w:szCs w:val="24"/>
        </w:rPr>
        <w:br/>
        <w:t xml:space="preserve">A GEO-ban szereplő adatok szerint t(12;21) transzlokáció esetén a KDM5D (p&lt;0,0001) és Ago4 (p&lt;0,0001) expressziója szignifikánsan magasabb, míg a HDAC9 expressziója szignifikánsan alacsonyabb (p&lt;0,0001) volt. A késői relapszust mutató betegcsoportban a KDM5B (p=0,017) és INO80 (p=0,004) gének expressziója szignifikánsan magasabb, míg a PGAM1 expressziója szignifikánsan alacsonyabb (p&lt;0,0001) volt a nem relabált betegekhez képest.</w:t>
      </w:r>
      <w:r>
        <w:rPr>
          <w:color w:val="000000"/>
          <w:sz w:val="24"/>
          <w:szCs w:val="24"/>
        </w:rPr>
        <w:br/>
        <w:t xml:space="preserve">Megbeszélés: A retrospektív adatelemzés alapján kedvező genetikai eltérés esetén jobb terápiás választ észleltünk. A GEO adatbázis szerint a különböző genetikai eltérések eltérő epigenetikai és proteomikai profilokkal társulnak, melyek részletes vizsgálata új biomarkerek és terápiás célpontok azonosítását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2197">
    <w:multiLevelType w:val="hybridMultilevel"/>
    <w:lvl w:ilvl="0" w:tplc="19601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2197">
    <w:abstractNumId w:val="99972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95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