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NOUR KURDI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noorkurdi@hotmail.com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Bedekovics Judit 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medulloblastoma szövettani, immunhisztokémiai és molekuláris klasszifikációja közötti kapcsolat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Medulloblastoma (MB) is the most common malignant pediatric central</w:t>
      </w:r>
      <w:r>
        <w:rPr>
          <w:color w:val="000000"/>
          <w:sz w:val="24"/>
          <w:szCs w:val="24"/>
        </w:rPr>
        <w:br/>
        <w:t xml:space="preserve">nervous system (CNS) tumor with highly aggressive clinical behavior. The recent 2021 WHO</w:t>
      </w:r>
      <w:r>
        <w:rPr>
          <w:color w:val="000000"/>
          <w:sz w:val="24"/>
          <w:szCs w:val="24"/>
        </w:rPr>
        <w:br/>
        <w:t xml:space="preserve">Classification of CNS Tumors establishes four molecularly-defined subgroups of MB with</w:t>
      </w:r>
      <w:r>
        <w:rPr>
          <w:color w:val="000000"/>
          <w:sz w:val="24"/>
          <w:szCs w:val="24"/>
        </w:rPr>
        <w:br/>
        <w:t xml:space="preserve">distinct clinical and prognostic associations (WNT-activated, SHH-activated and TP53-</w:t>
      </w:r>
      <w:r>
        <w:rPr>
          <w:color w:val="000000"/>
          <w:sz w:val="24"/>
          <w:szCs w:val="24"/>
        </w:rPr>
        <w:br/>
        <w:t xml:space="preserve">wildtype, SHH-activated and TP53-mutant and non-WNT/non-SHH). Molecular subtyping</w:t>
      </w:r>
      <w:r>
        <w:rPr>
          <w:color w:val="000000"/>
          <w:sz w:val="24"/>
          <w:szCs w:val="24"/>
        </w:rPr>
        <w:br/>
        <w:t xml:space="preserve">has become crucial in diagnosis, risk stratification, and effective therapy planning. However,</w:t>
      </w:r>
      <w:r>
        <w:rPr>
          <w:color w:val="000000"/>
          <w:sz w:val="24"/>
          <w:szCs w:val="24"/>
        </w:rPr>
        <w:br/>
        <w:t xml:space="preserve">the gold standard for molecular subtyping is gene expression and methylation profiling</w:t>
      </w:r>
      <w:r>
        <w:rPr>
          <w:color w:val="000000"/>
          <w:sz w:val="24"/>
          <w:szCs w:val="24"/>
        </w:rPr>
        <w:br/>
        <w:t xml:space="preserve">methods which prove to be a major challenge for most hospitals. Thus, alternative methods</w:t>
      </w:r>
      <w:r>
        <w:rPr>
          <w:color w:val="000000"/>
          <w:sz w:val="24"/>
          <w:szCs w:val="24"/>
        </w:rPr>
        <w:br/>
        <w:t xml:space="preserve">such as immunohistochemical (IHC) analysis are required.</w:t>
      </w:r>
      <w:r>
        <w:rPr>
          <w:color w:val="000000"/>
          <w:sz w:val="24"/>
          <w:szCs w:val="24"/>
        </w:rPr>
        <w:br/>
        <w:t xml:space="preserve">Aims: To assess the efficiency of a newly introduced IHC algorithm and customized NGS</w:t>
      </w:r>
      <w:r>
        <w:rPr>
          <w:color w:val="000000"/>
          <w:sz w:val="24"/>
          <w:szCs w:val="24"/>
        </w:rPr>
        <w:br/>
        <w:t xml:space="preserve">panel in samples from 14 patients with MB in order to establish molecular subtypes.</w:t>
      </w:r>
      <w:r>
        <w:rPr>
          <w:color w:val="000000"/>
          <w:sz w:val="24"/>
          <w:szCs w:val="24"/>
        </w:rPr>
        <w:br/>
        <w:t xml:space="preserve">Material and methods: Patient group consists of 14 patients (9 male, 5 female) with an</w:t>
      </w:r>
      <w:r>
        <w:rPr>
          <w:color w:val="000000"/>
          <w:sz w:val="24"/>
          <w:szCs w:val="24"/>
        </w:rPr>
        <w:br/>
        <w:t xml:space="preserve">average age of 7.28 years. Formalin-fixed paraffin-embedded tissue blocks were collected</w:t>
      </w:r>
      <w:r>
        <w:rPr>
          <w:color w:val="000000"/>
          <w:sz w:val="24"/>
          <w:szCs w:val="24"/>
        </w:rPr>
        <w:br/>
        <w:t xml:space="preserve">from the archives of Department of Pathology, University of Debrecen. 4 um thick tissue</w:t>
      </w:r>
      <w:r>
        <w:rPr>
          <w:color w:val="000000"/>
          <w:sz w:val="24"/>
          <w:szCs w:val="24"/>
        </w:rPr>
        <w:br/>
        <w:t xml:space="preserve">sections were used for IHC stains including β-catenin (clone 14), GAB1 (clone BSB-155),</w:t>
      </w:r>
      <w:r>
        <w:rPr>
          <w:color w:val="000000"/>
          <w:sz w:val="24"/>
          <w:szCs w:val="24"/>
        </w:rPr>
        <w:br/>
        <w:t xml:space="preserve">YAP1 (clone 2F12) and p53 (clone DO-7). Next-generation sequencing (NGS) was</w:t>
      </w:r>
      <w:r>
        <w:rPr>
          <w:color w:val="000000"/>
          <w:sz w:val="24"/>
          <w:szCs w:val="24"/>
        </w:rPr>
        <w:br/>
        <w:t xml:space="preserve">performed in selected cases from each morphological subgroup. For NGS library preparation,</w:t>
      </w:r>
      <w:r>
        <w:rPr>
          <w:color w:val="000000"/>
          <w:sz w:val="24"/>
          <w:szCs w:val="24"/>
        </w:rPr>
        <w:br/>
        <w:t xml:space="preserve">an RNA-based Archer FusionPlex custom gene panel (Archer DX, Boulder, CO, USA) was</w:t>
      </w:r>
      <w:r>
        <w:rPr>
          <w:color w:val="000000"/>
          <w:sz w:val="24"/>
          <w:szCs w:val="24"/>
        </w:rPr>
        <w:br/>
        <w:t xml:space="preserve">applied. Sequencing was performed on the MiSeq System (MiSeq Reagent kit v3). 5%</w:t>
      </w:r>
      <w:r>
        <w:rPr>
          <w:color w:val="000000"/>
          <w:sz w:val="24"/>
          <w:szCs w:val="24"/>
        </w:rPr>
        <w:br/>
        <w:t xml:space="preserve">variant allele frequency was used as the cut-off value.</w:t>
      </w:r>
      <w:r>
        <w:rPr>
          <w:color w:val="000000"/>
          <w:sz w:val="24"/>
          <w:szCs w:val="24"/>
        </w:rPr>
        <w:br/>
        <w:t xml:space="preserve">Results: Histological subgrouping revealed 10 classic, 2 nodular desmoplastic, 1 anaplastic</w:t>
      </w:r>
      <w:r>
        <w:rPr>
          <w:color w:val="000000"/>
          <w:sz w:val="24"/>
          <w:szCs w:val="24"/>
        </w:rPr>
        <w:br/>
        <w:t xml:space="preserve">variant, and 1 variant with myogenic differentiation. IHC subtyping identified 1 WNTactivated, 3 SHH-activated, 6 non-WNT/non-SHH activated, and 4 indeterminate cases.</w:t>
      </w:r>
      <w:r>
        <w:rPr>
          <w:color w:val="000000"/>
          <w:sz w:val="24"/>
          <w:szCs w:val="24"/>
        </w:rPr>
        <w:br/>
        <w:t xml:space="preserve">CTNNB1 mutation was detected in the IHC-defined WNT-activated case. All of the three</w:t>
      </w:r>
      <w:r>
        <w:rPr>
          <w:color w:val="000000"/>
          <w:sz w:val="24"/>
          <w:szCs w:val="24"/>
        </w:rPr>
        <w:br/>
        <w:t xml:space="preserve">IHC-defined SHH-activated cases carried mutations that were described previously in this</w:t>
      </w:r>
      <w:r>
        <w:rPr>
          <w:color w:val="000000"/>
          <w:sz w:val="24"/>
          <w:szCs w:val="24"/>
        </w:rPr>
        <w:br/>
        <w:t xml:space="preserve">category, although these mutations were less specific.</w:t>
      </w:r>
      <w:r>
        <w:rPr>
          <w:color w:val="000000"/>
          <w:sz w:val="24"/>
          <w:szCs w:val="24"/>
        </w:rPr>
        <w:br/>
        <w:t xml:space="preserve">Discussion: Ten out of the fourteen MB cases could be classified using the IHC algorithm,</w:t>
      </w:r>
      <w:r>
        <w:rPr>
          <w:color w:val="000000"/>
          <w:sz w:val="24"/>
          <w:szCs w:val="24"/>
        </w:rPr>
        <w:br/>
        <w:t xml:space="preserve">while four showed indeterminate molecular results. The IHC subtypes and molecular results</w:t>
      </w:r>
      <w:r>
        <w:rPr>
          <w:color w:val="000000"/>
          <w:sz w:val="24"/>
          <w:szCs w:val="24"/>
        </w:rPr>
        <w:br/>
        <w:t xml:space="preserve">correlated well with the histological subtype. The clinically unique WNT-activated subgroup</w:t>
      </w:r>
      <w:r>
        <w:rPr>
          <w:color w:val="000000"/>
          <w:sz w:val="24"/>
          <w:szCs w:val="24"/>
        </w:rPr>
        <w:br/>
        <w:t xml:space="preserve">could be identified with both IHC methods and molecular sequencing.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52282">
    <w:multiLevelType w:val="hybridMultilevel"/>
    <w:lvl w:ilvl="0" w:tplc="10933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52282">
    <w:abstractNumId w:val="963522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552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