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esztimagyar242@gmail.com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Méhes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Cardiovasculáris szövődmények JAK2 mutációval járó klonális myeloproliferativ eltérésekben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20 évben vált ismertté, hogy a myeloproliferativ neopláziában jellegzetes onkogén</w:t>
      </w:r>
      <w:r>
        <w:rPr>
          <w:color w:val="000000"/>
          <w:sz w:val="24"/>
          <w:szCs w:val="24"/>
        </w:rPr>
        <w:br/>
        <w:t xml:space="preserve">mutációk a betegség kialakulása nélkül, vagy jóval annak megjelenése előtt kimutathatók. A</w:t>
      </w:r>
      <w:r>
        <w:rPr>
          <w:color w:val="000000"/>
          <w:sz w:val="24"/>
          <w:szCs w:val="24"/>
        </w:rPr>
        <w:br/>
        <w:t xml:space="preserve">klonális hemopoesisnek nevezett állapot nem hematológiai következményeiről számos adat</w:t>
      </w:r>
      <w:r>
        <w:rPr>
          <w:color w:val="000000"/>
          <w:sz w:val="24"/>
          <w:szCs w:val="24"/>
        </w:rPr>
        <w:br/>
        <w:t xml:space="preserve">áll rendelkezésre. A JAK2 onkogén mutációjával összefüggésben például fokozott</w:t>
      </w:r>
      <w:r>
        <w:rPr>
          <w:color w:val="000000"/>
          <w:sz w:val="24"/>
          <w:szCs w:val="24"/>
        </w:rPr>
        <w:br/>
        <w:t xml:space="preserve">cardiovasculáris kockázatról számoltak be. A hipotézis szerint a myeloid eredetű JAK2-</w:t>
      </w:r>
      <w:r>
        <w:rPr>
          <w:color w:val="000000"/>
          <w:sz w:val="24"/>
          <w:szCs w:val="24"/>
        </w:rPr>
        <w:br/>
        <w:t xml:space="preserve">mutáns gyulladásos sejtek fokozott aktivitása érfali károsodást, atherosclerosist és</w:t>
      </w:r>
      <w:r>
        <w:rPr>
          <w:color w:val="000000"/>
          <w:sz w:val="24"/>
          <w:szCs w:val="24"/>
        </w:rPr>
        <w:br/>
        <w:t xml:space="preserve">thrombotikus szövődményeket eredményez a thrombocyta számtól függetlenül.</w:t>
      </w:r>
      <w:r>
        <w:rPr>
          <w:color w:val="000000"/>
          <w:sz w:val="24"/>
          <w:szCs w:val="24"/>
        </w:rPr>
        <w:br/>
        <w:t xml:space="preserve">Kutatásaink célja a JAK2 mutációt hordozó egyénekben előforduló szív-és érrendszeri</w:t>
      </w:r>
      <w:r>
        <w:rPr>
          <w:color w:val="000000"/>
          <w:sz w:val="24"/>
          <w:szCs w:val="24"/>
        </w:rPr>
        <w:br/>
        <w:t xml:space="preserve">megbetegedések formáinak és gyakoriságának az elemzése a Debreceni Egyetem ellátási</w:t>
      </w:r>
      <w:r>
        <w:rPr>
          <w:color w:val="000000"/>
          <w:sz w:val="24"/>
          <w:szCs w:val="24"/>
        </w:rPr>
        <w:br/>
        <w:t xml:space="preserve">területén a 2012-2021 közötti időszakban. Vizsgálatunk a kórlefolyásra, ezen belül a</w:t>
      </w:r>
      <w:r>
        <w:rPr>
          <w:color w:val="000000"/>
          <w:sz w:val="24"/>
          <w:szCs w:val="24"/>
        </w:rPr>
        <w:br/>
        <w:t xml:space="preserve">thromboticus eseményekre, a nagyerek és szív állapotára, valamint a JAK2 mutáció</w:t>
      </w:r>
      <w:r>
        <w:rPr>
          <w:color w:val="000000"/>
          <w:sz w:val="24"/>
          <w:szCs w:val="24"/>
        </w:rPr>
        <w:br/>
        <w:t xml:space="preserve">fennálltának idejére és a mutáció mértékére (variáns allél frekvencia, VAF) vonatkozott.</w:t>
      </w:r>
      <w:r>
        <w:rPr>
          <w:color w:val="000000"/>
          <w:sz w:val="24"/>
          <w:szCs w:val="24"/>
        </w:rPr>
        <w:br/>
        <w:t xml:space="preserve">Összesen 380, myeloproliferativ neoplasia miatt vizsgált és JAK2 mutációval diagnosztizált</w:t>
      </w:r>
      <w:r>
        <w:rPr>
          <w:color w:val="000000"/>
          <w:sz w:val="24"/>
          <w:szCs w:val="24"/>
        </w:rPr>
        <w:br/>
        <w:t xml:space="preserve">esetből 12 (3,1%) járt halállal és boncolási dokumentációval, melyek 50-50%-ban mutattak</w:t>
      </w:r>
      <w:r>
        <w:rPr>
          <w:color w:val="000000"/>
          <w:sz w:val="24"/>
          <w:szCs w:val="24"/>
        </w:rPr>
        <w:br/>
        <w:t xml:space="preserve">thromboticus, illetve atherosclerotikus eltéréseket, beleértve a jellegzetes nagyér</w:t>
      </w:r>
      <w:r>
        <w:rPr>
          <w:color w:val="000000"/>
          <w:sz w:val="24"/>
          <w:szCs w:val="24"/>
        </w:rPr>
        <w:br/>
        <w:t xml:space="preserve">atheromatosist is.</w:t>
      </w:r>
      <w:r>
        <w:rPr>
          <w:color w:val="000000"/>
          <w:sz w:val="24"/>
          <w:szCs w:val="24"/>
        </w:rPr>
        <w:br/>
        <w:t xml:space="preserve">A fennmaradó 368 betegből 145 fő (39.4%) rendelkezett cardiovascularis előzménnyel, míg</w:t>
      </w:r>
      <w:r>
        <w:rPr>
          <w:color w:val="000000"/>
          <w:sz w:val="24"/>
          <w:szCs w:val="24"/>
        </w:rPr>
        <w:br/>
        <w:t xml:space="preserve">a maradék 223 (60,6%) nem. A cardiovascularis eseménnyel és VAF értékekkel is rendelkező</w:t>
      </w:r>
      <w:r>
        <w:rPr>
          <w:color w:val="000000"/>
          <w:sz w:val="24"/>
          <w:szCs w:val="24"/>
        </w:rPr>
        <w:br/>
        <w:t xml:space="preserve">csoportban (n=36) a VAF átlagértéke (31,0%) és az átlag életkor (73 év) is magasabb volt,</w:t>
      </w:r>
      <w:r>
        <w:rPr>
          <w:color w:val="000000"/>
          <w:sz w:val="24"/>
          <w:szCs w:val="24"/>
        </w:rPr>
        <w:br/>
        <w:t xml:space="preserve">mint a szív-és érrendszeri érintettséget nem mutató csoportnál (n= 76, VAF átlagérték 24,4%,</w:t>
      </w:r>
      <w:r>
        <w:rPr>
          <w:color w:val="000000"/>
          <w:sz w:val="24"/>
          <w:szCs w:val="24"/>
        </w:rPr>
        <w:br/>
        <w:t xml:space="preserve">átlag életkor 66 év). A VAF értékek mind az életkorral, mind a cardiovasculáris események</w:t>
      </w:r>
      <w:r>
        <w:rPr>
          <w:color w:val="000000"/>
          <w:sz w:val="24"/>
          <w:szCs w:val="24"/>
        </w:rPr>
        <w:br/>
        <w:t xml:space="preserve">megjelenésével korreláltak.</w:t>
      </w:r>
      <w:r>
        <w:rPr>
          <w:color w:val="000000"/>
          <w:sz w:val="24"/>
          <w:szCs w:val="24"/>
        </w:rPr>
        <w:br/>
        <w:t xml:space="preserve">A kardiológiai előzményekkel rendelkező betegek közül végül 32 esetben találtunk</w:t>
      </w:r>
      <w:r>
        <w:rPr>
          <w:color w:val="000000"/>
          <w:sz w:val="24"/>
          <w:szCs w:val="24"/>
        </w:rPr>
        <w:br/>
        <w:t xml:space="preserve">összevethető adatokat. Köztük tisztán thromboticus események 21,88%-ban (n=7)</w:t>
      </w:r>
      <w:r>
        <w:rPr>
          <w:color w:val="000000"/>
          <w:sz w:val="24"/>
          <w:szCs w:val="24"/>
        </w:rPr>
        <w:br/>
        <w:t xml:space="preserve">jelentkeztek, ideértve a stroke-ot és a mélyvénás trombózist. Önmagában is súlyos</w:t>
      </w:r>
      <w:r>
        <w:rPr>
          <w:color w:val="000000"/>
          <w:sz w:val="24"/>
          <w:szCs w:val="24"/>
        </w:rPr>
        <w:br/>
        <w:t xml:space="preserve">atheroscleroticus szövődményeket 43,75%-ban (n=14) találtunk, 18,75%-ban (n=6) pedig</w:t>
      </w:r>
      <w:r>
        <w:rPr>
          <w:color w:val="000000"/>
          <w:sz w:val="24"/>
          <w:szCs w:val="24"/>
        </w:rPr>
        <w:br/>
        <w:t xml:space="preserve">mind a két irányban mutatkozott elváltozás.</w:t>
      </w:r>
      <w:r>
        <w:rPr>
          <w:color w:val="000000"/>
          <w:sz w:val="24"/>
          <w:szCs w:val="24"/>
        </w:rPr>
        <w:br/>
        <w:t xml:space="preserve">A fenti eredmények megerősítik, hogy a JAK2 génmutáció tartós jelenléte és a magas VAF</w:t>
      </w:r>
      <w:r>
        <w:rPr>
          <w:color w:val="000000"/>
          <w:sz w:val="24"/>
          <w:szCs w:val="24"/>
        </w:rPr>
        <w:br/>
        <w:t xml:space="preserve">érték gyakori vascularis szövődményekkel jár. A lehetséges okok részletes feltárása további</w:t>
      </w:r>
      <w:r>
        <w:rPr>
          <w:color w:val="000000"/>
          <w:sz w:val="24"/>
          <w:szCs w:val="24"/>
        </w:rPr>
        <w:br/>
        <w:t xml:space="preserve">munkát igényel, kiemelt figyelmet fordítva az atherosclerosis patomechanizmusára.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068256">
    <w:multiLevelType w:val="hybridMultilevel"/>
    <w:lvl w:ilvl="0" w:tplc="402701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068256">
    <w:abstractNumId w:val="150682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00485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