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VIETROV TYMUR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timurvetrov@gmail.com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Bombicz Mariann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tofacitinib előnyös hatásai komplett Freund adjuváns okozta rheumatoid artritiszben megfigyelhető komorbiditásokra ZSF1 patkány modellen.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</w:t>
      </w:r>
      <w:r>
        <w:rPr>
          <w:color w:val="000000"/>
          <w:sz w:val="24"/>
          <w:szCs w:val="24"/>
        </w:rPr>
        <w:br/>
        <w:t xml:space="preserve">Rheumatoid arthritis (RA) is the most common form of non-infectious inflammatory</w:t>
      </w:r>
      <w:r>
        <w:rPr>
          <w:color w:val="000000"/>
          <w:sz w:val="24"/>
          <w:szCs w:val="24"/>
        </w:rPr>
        <w:br/>
        <w:t xml:space="preserve">disorders, which involves several comorbidities, such as cardiovascular alterations or</w:t>
      </w:r>
      <w:r>
        <w:rPr>
          <w:color w:val="000000"/>
          <w:sz w:val="24"/>
          <w:szCs w:val="24"/>
        </w:rPr>
        <w:br/>
        <w:t xml:space="preserve">metabolic syndrome. The aim of our trial was to examine the positive effects of diseasemodifying antirheumatic drug tofacitinib on metabolic syndrome associated with RA, on a</w:t>
      </w:r>
      <w:r>
        <w:rPr>
          <w:color w:val="000000"/>
          <w:sz w:val="24"/>
          <w:szCs w:val="24"/>
        </w:rPr>
        <w:br/>
        <w:t xml:space="preserve">complete Freund’s adjuvant (CFA)- induced rheumatoid arthritis rodent model.</w:t>
      </w:r>
      <w:r>
        <w:rPr>
          <w:color w:val="000000"/>
          <w:sz w:val="24"/>
          <w:szCs w:val="24"/>
        </w:rPr>
        <w:br/>
        <w:t xml:space="preserve">Method</w:t>
      </w:r>
      <w:r>
        <w:rPr>
          <w:color w:val="000000"/>
          <w:sz w:val="24"/>
          <w:szCs w:val="24"/>
        </w:rPr>
        <w:br/>
        <w:t xml:space="preserve">50 male ZSF1 rats were divided into 8 groups as follows:</w:t>
      </w:r>
      <w:r>
        <w:rPr>
          <w:color w:val="000000"/>
          <w:sz w:val="24"/>
          <w:szCs w:val="24"/>
        </w:rPr>
        <w:br/>
        <w:t xml:space="preserve">I. Lean (not obese, not treated); II. Lean + CFA (not obese, treated with CFA); III. Lean +</w:t>
      </w:r>
      <w:r>
        <w:rPr>
          <w:color w:val="000000"/>
          <w:sz w:val="24"/>
          <w:szCs w:val="24"/>
        </w:rPr>
        <w:br/>
        <w:t xml:space="preserve">CFA + Tofa (not obese, treated with CFA and tofacitinib); IV. Lean + Tofa (not obese, treated</w:t>
      </w:r>
      <w:r>
        <w:rPr>
          <w:color w:val="000000"/>
          <w:sz w:val="24"/>
          <w:szCs w:val="24"/>
        </w:rPr>
        <w:br/>
        <w:t xml:space="preserve">only with tofacitinib) Similarly, we created four obese ZSF1 groups (V-VIII).</w:t>
      </w:r>
      <w:r>
        <w:rPr>
          <w:color w:val="000000"/>
          <w:sz w:val="24"/>
          <w:szCs w:val="24"/>
        </w:rPr>
        <w:br/>
        <w:t xml:space="preserve">Evaluating the inflammation severity, paw volume was measured by a digital micrometer,</w:t>
      </w:r>
      <w:r>
        <w:rPr>
          <w:color w:val="000000"/>
          <w:sz w:val="24"/>
          <w:szCs w:val="24"/>
        </w:rPr>
        <w:br/>
        <w:t xml:space="preserve">and the thermo-mechanical nociceptive threshold was tested by hot plate and von Frey</w:t>
      </w:r>
      <w:r>
        <w:rPr>
          <w:color w:val="000000"/>
          <w:sz w:val="24"/>
          <w:szCs w:val="24"/>
        </w:rPr>
        <w:br/>
        <w:t xml:space="preserve">methods. Parameters connected to glucose homeostasis, blood pressure, and body weight</w:t>
      </w:r>
      <w:r>
        <w:rPr>
          <w:color w:val="000000"/>
          <w:sz w:val="24"/>
          <w:szCs w:val="24"/>
        </w:rPr>
        <w:br/>
        <w:t xml:space="preserve">were checked. Fluorodeoxyglucose (FDG)-positron emission tomography (PET) was done</w:t>
      </w:r>
      <w:r>
        <w:rPr>
          <w:color w:val="000000"/>
          <w:sz w:val="24"/>
          <w:szCs w:val="24"/>
        </w:rPr>
        <w:br/>
        <w:t xml:space="preserve">to differentiate the metabolic activity of the animal’s hearts and tibiotarsal joints. The study</w:t>
      </w:r>
      <w:r>
        <w:rPr>
          <w:color w:val="000000"/>
          <w:sz w:val="24"/>
          <w:szCs w:val="24"/>
        </w:rPr>
        <w:br/>
        <w:t xml:space="preserve">ended on the 28th day of the experiment.</w:t>
      </w:r>
      <w:r>
        <w:rPr>
          <w:color w:val="000000"/>
          <w:sz w:val="24"/>
          <w:szCs w:val="24"/>
        </w:rPr>
        <w:br/>
        <w:t xml:space="preserve">Result</w:t>
      </w:r>
      <w:r>
        <w:rPr>
          <w:color w:val="000000"/>
          <w:sz w:val="24"/>
          <w:szCs w:val="24"/>
        </w:rPr>
        <w:br/>
        <w:t xml:space="preserve">The OGTT results of the obese ZSF1 rats were worse, the HgbA1C levels, blood pressure,</w:t>
      </w:r>
      <w:r>
        <w:rPr>
          <w:color w:val="000000"/>
          <w:sz w:val="24"/>
          <w:szCs w:val="24"/>
        </w:rPr>
        <w:br/>
        <w:t xml:space="preserve">and body weight, was higher than in the Lean ones. In acute phase of the inflammation, paw</w:t>
      </w:r>
      <w:r>
        <w:rPr>
          <w:color w:val="000000"/>
          <w:sz w:val="24"/>
          <w:szCs w:val="24"/>
        </w:rPr>
        <w:br/>
        <w:t xml:space="preserve">volume of the CFA-treated animals was higher and a greater metabolic activity was</w:t>
      </w:r>
      <w:r>
        <w:rPr>
          <w:color w:val="000000"/>
          <w:sz w:val="24"/>
          <w:szCs w:val="24"/>
        </w:rPr>
        <w:br/>
        <w:t xml:space="preserve">observable with FGD-PET in their tibiotarsal joints. The FDG uptake of obese animal’s heart</w:t>
      </w:r>
      <w:r>
        <w:rPr>
          <w:color w:val="000000"/>
          <w:sz w:val="24"/>
          <w:szCs w:val="24"/>
        </w:rPr>
        <w:br/>
        <w:t xml:space="preserve">tissue was pure, correlating with metabolic syndrome and progression of autoimmune</w:t>
      </w:r>
      <w:r>
        <w:rPr>
          <w:color w:val="000000"/>
          <w:sz w:val="24"/>
          <w:szCs w:val="24"/>
        </w:rPr>
        <w:br/>
        <w:t xml:space="preserve">disease, there was a large difference seen when the animals received tofacitinib treatment.</w:t>
      </w:r>
      <w:r>
        <w:rPr>
          <w:color w:val="000000"/>
          <w:sz w:val="24"/>
          <w:szCs w:val="24"/>
        </w:rPr>
        <w:br/>
        <w:t xml:space="preserve">Interestingly we observed a decrease in the thermomechanical nociceptive threshold in the</w:t>
      </w:r>
      <w:r>
        <w:rPr>
          <w:color w:val="000000"/>
          <w:sz w:val="24"/>
          <w:szCs w:val="24"/>
        </w:rPr>
        <w:br/>
        <w:t xml:space="preserve">ZSF1+Tofa and in the ZSF1+CFA+Tofa groups.</w:t>
      </w:r>
      <w:r>
        <w:rPr>
          <w:color w:val="000000"/>
          <w:sz w:val="24"/>
          <w:szCs w:val="24"/>
        </w:rPr>
        <w:br/>
        <w:t xml:space="preserve">Conclusion</w:t>
      </w:r>
      <w:r>
        <w:rPr>
          <w:color w:val="000000"/>
          <w:sz w:val="24"/>
          <w:szCs w:val="24"/>
        </w:rPr>
        <w:br/>
        <w:t xml:space="preserve">In conclusion, we assume tofacitinib is able to undo metabolic syndrome’s consequences,</w:t>
      </w:r>
      <w:r>
        <w:rPr>
          <w:color w:val="000000"/>
          <w:sz w:val="24"/>
          <w:szCs w:val="24"/>
        </w:rPr>
        <w:br/>
        <w:t xml:space="preserve">such as insulin resistance, and symptoms of diabetic foot without having effects on blood</w:t>
      </w:r>
      <w:r>
        <w:rPr>
          <w:color w:val="000000"/>
          <w:sz w:val="24"/>
          <w:szCs w:val="24"/>
        </w:rPr>
        <w:br/>
        <w:t xml:space="preserve">pressure. To confirm our results and find the reason behind the observations molecular and</w:t>
      </w:r>
      <w:r>
        <w:rPr>
          <w:color w:val="000000"/>
          <w:sz w:val="24"/>
          <w:szCs w:val="24"/>
        </w:rPr>
        <w:br/>
        <w:t xml:space="preserve">histological examinations are under completion.</w:t>
      </w:r>
      <w:r>
        <w:rPr>
          <w:color w:val="000000"/>
          <w:sz w:val="24"/>
          <w:szCs w:val="24"/>
        </w:rPr>
        <w:br/>
        <w:t xml:space="preserve">Acknowledgment</w:t>
      </w:r>
      <w:r>
        <w:rPr>
          <w:color w:val="000000"/>
          <w:sz w:val="24"/>
          <w:szCs w:val="24"/>
        </w:rPr>
        <w:br/>
        <w:t xml:space="preserve">The publication was supported by the GINOP-2.3.4-15-2016-00002 project.TKP2020-NKA04 has been implemented with the support provided by the National Research, Development,</w:t>
      </w:r>
      <w:r>
        <w:rPr>
          <w:color w:val="000000"/>
          <w:sz w:val="24"/>
          <w:szCs w:val="24"/>
        </w:rPr>
        <w:br/>
        <w:t xml:space="preserve">and Innovation Fund of Hungary, financed under the 2020-4.1.1-TKP2020 funding scheme.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73853">
    <w:multiLevelType w:val="hybridMultilevel"/>
    <w:lvl w:ilvl="0" w:tplc="37834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73853">
    <w:abstractNumId w:val="54273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707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