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SZLIVKA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borci99@gmail.com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Pászti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Gégebetegségek foniátriai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a foniátriai rendelőben megjelent betegeinket vizsgáltuk és végeztünk kép,</w:t>
      </w:r>
      <w:r>
        <w:rPr>
          <w:color w:val="000000"/>
          <w:sz w:val="24"/>
          <w:szCs w:val="24"/>
        </w:rPr>
        <w:br/>
        <w:t xml:space="preserve">illetve hanganalízist. Egy foniátriai vizsgálat során a szájgarat, a gégegarat, a gége és a nyak</w:t>
      </w:r>
      <w:r>
        <w:rPr>
          <w:color w:val="000000"/>
          <w:sz w:val="24"/>
          <w:szCs w:val="24"/>
        </w:rPr>
        <w:br/>
        <w:t xml:space="preserve">alapos vizsgálatát végezzük el; megvizsgáljuk a hang minőségét. Vizsgálómódszereink közé</w:t>
      </w:r>
      <w:r>
        <w:rPr>
          <w:color w:val="000000"/>
          <w:sz w:val="24"/>
          <w:szCs w:val="24"/>
        </w:rPr>
        <w:br/>
        <w:t xml:space="preserve">tartozik a videolaryngoszkópos, a stroboszkópos, illetve a hanganalízis és a hangspektrum</w:t>
      </w:r>
      <w:r>
        <w:rPr>
          <w:color w:val="000000"/>
          <w:sz w:val="24"/>
          <w:szCs w:val="24"/>
        </w:rPr>
        <w:br/>
        <w:t xml:space="preserve">vizsgálat is.</w:t>
      </w:r>
      <w:r>
        <w:rPr>
          <w:color w:val="000000"/>
          <w:sz w:val="24"/>
          <w:szCs w:val="24"/>
        </w:rPr>
        <w:br/>
        <w:t xml:space="preserve">Rövidtávú céljaink közé tartozott megfigyelni, hogy a különböző képi elváltozásokat milyen</w:t>
      </w:r>
      <w:r>
        <w:rPr>
          <w:color w:val="000000"/>
          <w:sz w:val="24"/>
          <w:szCs w:val="24"/>
        </w:rPr>
        <w:br/>
        <w:t xml:space="preserve">hanganalízisbeli elváltozások kísérik. Mindemellett hosszútávú célunknak tűztük ki, hogy</w:t>
      </w:r>
      <w:r>
        <w:rPr>
          <w:color w:val="000000"/>
          <w:sz w:val="24"/>
          <w:szCs w:val="24"/>
        </w:rPr>
        <w:br/>
        <w:t xml:space="preserve">megvizsgáljuk, vajon a vizsgálómódszer alkalmas-e olyan primer gégedaganatok</w:t>
      </w:r>
      <w:r>
        <w:rPr>
          <w:color w:val="000000"/>
          <w:sz w:val="24"/>
          <w:szCs w:val="24"/>
        </w:rPr>
        <w:br/>
        <w:t xml:space="preserve">diagnosztizálására, amelyeket videolaryngoscopiával nem láthatunk.</w:t>
      </w:r>
      <w:r>
        <w:rPr>
          <w:color w:val="000000"/>
          <w:sz w:val="24"/>
          <w:szCs w:val="24"/>
        </w:rPr>
        <w:br/>
        <w:t xml:space="preserve">A Debreceni Egyetem Fül-Orr-Gégészeti és Fej-Nyaksebészeti Klinika Foniátriai</w:t>
      </w:r>
      <w:r>
        <w:rPr>
          <w:color w:val="000000"/>
          <w:sz w:val="24"/>
          <w:szCs w:val="24"/>
        </w:rPr>
        <w:br/>
        <w:t xml:space="preserve">szakrendelésén két éve használjuk a jelen vizsgálóeszközöket, módszereket. Ezen idő alatt</w:t>
      </w:r>
      <w:r>
        <w:rPr>
          <w:color w:val="000000"/>
          <w:sz w:val="24"/>
          <w:szCs w:val="24"/>
        </w:rPr>
        <w:br/>
        <w:t xml:space="preserve">több száz beteget vizsgáltunk meg, akik közül összesen 51-en kerültek be a kutatásunkba. A</w:t>
      </w:r>
      <w:r>
        <w:rPr>
          <w:color w:val="000000"/>
          <w:sz w:val="24"/>
          <w:szCs w:val="24"/>
        </w:rPr>
        <w:br/>
        <w:t xml:space="preserve">betegeket később 6 csoportba soroltuk be, amelyek a következők voltak: (1) malignus</w:t>
      </w:r>
      <w:r>
        <w:rPr>
          <w:color w:val="000000"/>
          <w:sz w:val="24"/>
          <w:szCs w:val="24"/>
        </w:rPr>
        <w:br/>
        <w:t xml:space="preserve">daganatos csoport, (2) praecancerosisos betegcsoport, (3) Reinke ödémások csoportja, (4)</w:t>
      </w:r>
      <w:r>
        <w:rPr>
          <w:color w:val="000000"/>
          <w:sz w:val="24"/>
          <w:szCs w:val="24"/>
        </w:rPr>
        <w:br/>
        <w:t xml:space="preserve">benignus elváltozásokkal rendelkező betegek csoportja, (5) recurrens parézios betegek</w:t>
      </w:r>
      <w:r>
        <w:rPr>
          <w:color w:val="000000"/>
          <w:sz w:val="24"/>
          <w:szCs w:val="24"/>
        </w:rPr>
        <w:br/>
        <w:t xml:space="preserve">csoportja és (6) kontroll csoport.</w:t>
      </w:r>
      <w:r>
        <w:rPr>
          <w:color w:val="000000"/>
          <w:sz w:val="24"/>
          <w:szCs w:val="24"/>
        </w:rPr>
        <w:br/>
        <w:t xml:space="preserve">Az általunk vizsgált hangelemzéses paraméterek a jitter (azaz a periódus ingadozás, melynek</w:t>
      </w:r>
      <w:r>
        <w:rPr>
          <w:color w:val="000000"/>
          <w:sz w:val="24"/>
          <w:szCs w:val="24"/>
        </w:rPr>
        <w:br/>
        <w:t xml:space="preserve">normál értéke 0,69% alatti), a shimmer (azaz az amplitúdó ingadozás, melynek normál értéke</w:t>
      </w:r>
      <w:r>
        <w:rPr>
          <w:color w:val="000000"/>
          <w:sz w:val="24"/>
          <w:szCs w:val="24"/>
        </w:rPr>
        <w:br/>
        <w:t xml:space="preserve">2,94% alatti) és a HNR (azaz a jel-zaj arány, melynek normál értéke 7,4 dB feletti) voltak.</w:t>
      </w:r>
      <w:r>
        <w:rPr>
          <w:color w:val="000000"/>
          <w:sz w:val="24"/>
          <w:szCs w:val="24"/>
        </w:rPr>
        <w:br/>
        <w:t xml:space="preserve">Eredményeinket áttekintve megállapíthatjuk, hogy a malignus daganatok (jitter=2,70%;</w:t>
      </w:r>
      <w:r>
        <w:rPr>
          <w:color w:val="000000"/>
          <w:sz w:val="24"/>
          <w:szCs w:val="24"/>
        </w:rPr>
        <w:br/>
        <w:t xml:space="preserve">shimmer=9,20%; HNR=0,7dB) és a recurrens parézis (jitter=2,90%; shimmer=18,10%;</w:t>
      </w:r>
      <w:r>
        <w:rPr>
          <w:color w:val="000000"/>
          <w:sz w:val="24"/>
          <w:szCs w:val="24"/>
        </w:rPr>
        <w:br/>
        <w:t xml:space="preserve">HNR=-1,28 dB) esetén mindhárom általunk vizsgált érték jelentős eltérése látható, utóbbi</w:t>
      </w:r>
      <w:r>
        <w:rPr>
          <w:color w:val="000000"/>
          <w:sz w:val="24"/>
          <w:szCs w:val="24"/>
        </w:rPr>
        <w:br/>
        <w:t xml:space="preserve">csoportban azonban a HNR negatív értéket mutat.</w:t>
      </w:r>
      <w:r>
        <w:rPr>
          <w:color w:val="000000"/>
          <w:sz w:val="24"/>
          <w:szCs w:val="24"/>
        </w:rPr>
        <w:br/>
        <w:t xml:space="preserve">A benignus betegségek (jitter=0,9%; shimmer=4,40%; HNR=7,4 dB) csaknem hasonló</w:t>
      </w:r>
      <w:r>
        <w:rPr>
          <w:color w:val="000000"/>
          <w:sz w:val="24"/>
          <w:szCs w:val="24"/>
        </w:rPr>
        <w:br/>
        <w:t xml:space="preserve">értékeket mutatnak a kontroll (jitter=0,7%; shimmer=3,20%; HNR=9,44 dB) csoporttal.</w:t>
      </w:r>
      <w:r>
        <w:rPr>
          <w:color w:val="000000"/>
          <w:sz w:val="24"/>
          <w:szCs w:val="24"/>
        </w:rPr>
        <w:br/>
        <w:t xml:space="preserve">Reinke ödéma esetén a HNR értéke kiemelendő (-2,1 dB), ez az összes betegcsoport közül</w:t>
      </w:r>
      <w:r>
        <w:rPr>
          <w:color w:val="000000"/>
          <w:sz w:val="24"/>
          <w:szCs w:val="24"/>
        </w:rPr>
        <w:br/>
        <w:t xml:space="preserve">itt a legalacsonyabb. A praecancerosus betegcsoport értékei hasonlóak a malignus</w:t>
      </w:r>
      <w:r>
        <w:rPr>
          <w:color w:val="000000"/>
          <w:sz w:val="24"/>
          <w:szCs w:val="24"/>
        </w:rPr>
        <w:br/>
        <w:t xml:space="preserve">folyamatokéihoz.</w:t>
      </w:r>
      <w:r>
        <w:rPr>
          <w:color w:val="000000"/>
          <w:sz w:val="24"/>
          <w:szCs w:val="24"/>
        </w:rPr>
        <w:br/>
        <w:t xml:space="preserve">Annak eldöntésére, hogy a hanganalízis, mint vizsgálómódszer alkalmas-e a gégerák</w:t>
      </w:r>
      <w:r>
        <w:rPr>
          <w:color w:val="000000"/>
          <w:sz w:val="24"/>
          <w:szCs w:val="24"/>
        </w:rPr>
        <w:br/>
        <w:t xml:space="preserve">diagnosztizálására, további eredményekre lesz még szükségünk.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590185">
    <w:multiLevelType w:val="hybridMultilevel"/>
    <w:lvl w:ilvl="0" w:tplc="241477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590185">
    <w:abstractNumId w:val="745901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08175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