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BARÁTH BENJÁMIN REGŐ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benjaminr683@gmail.com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Nemes Balázs Áron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Vesetranszplantált betegek CYP-státuszának hatása a tacrolimus gyógyszerelésre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vesetranszplantáció hosszú távú sikerességét nagyban meghatározza, hogy az átültetést követő immunszuppresszió mértékét sikerül-e az optimális tartományon belül tartani. A poszttranszplantációs immunszuppresszív terápia alapkövét képező tacrolimus esetén a recipiensek között nagy farmakokinetikai eltérés figyelhető meg, melyet részben a hatóanyagot lebontó CYP3A enzimek genetikai variabilitására vezethetünk vissza. Célkitűzés: Kutatásunk elsőrendű célja, hogy veseátültetett betegeknél a tacrolimus lebontásában résztvevő CYP3A5 és CYP3A4 enzimek genetikai státuszának tükrében összefüggést keressünk a tacrolimus vérszintek és azok terápiás tartományban tartásához szükséges dózisok között.</w:t>
      </w:r>
      <w:r>
        <w:rPr>
          <w:color w:val="000000"/>
          <w:sz w:val="24"/>
          <w:szCs w:val="24"/>
        </w:rPr>
        <w:br/>
        <w:t xml:space="preserve">Módszerek: A vizsgálatba 2021.02.22. óta veseátültetésen átesett személyeket (N=26; 8 nő, 18 férfi) választottunk be. A recipiensek vérmintáiból DNS izolálást követően CYP- genotipizálás (CYP3A5, CYP3A4) történt. A CYP3A5 enzim esetén kettő (CYP3A5*1 és *3), a CYP3A4 enzim esetén pedig három allél (CYP3A4*1, *1B és *22) került elemzésre. A genotípus-kombinációk és irodalmi adatok alapján a recipienseket extenzív (EM), intermedier (IM) és gyenge metabolizálók (poor metabolizer; PM) közé soroltuk. Eredmények: A klasszifikáció és genotipizálás alapján 3 EM, 21 IM és 2 PM személy adatai kerültek összegzésre. A tacrolimus testtömeg kg-hoz viszonyított kezdő napi dózisát (0,1 mg/ttkg/nap) az EM csoportban átlagban 63%-kal emelni (átlag dózis 0,157 ± 0,031 mg/ttkg/nap), míg az IM csoportban 28%-kal (0,080 ± 0,041 mg/ttkg/nap), a PM csoportban pedig 53%-kal (0,047 ± 0,010 mg/ttkg/nap) csökkenteni kellett a harmadik havi kontrollon a tacrolimus-vérkoncentráció terápiás tartományban tartásának érdekében.</w:t>
      </w:r>
      <w:r>
        <w:rPr>
          <w:color w:val="000000"/>
          <w:sz w:val="24"/>
          <w:szCs w:val="24"/>
        </w:rPr>
        <w:br/>
        <w:t xml:space="preserve">Megbeszélés: Az általunk kapott genotipizálási eredmények (a genotípusok aránya) az irodalomban található populációs adatokkal megközelítőleg megegyeznek. A vizsgált populáció alapján látható gyógyszerelési különbségek jelentőségének és a várólistán szereplő betegek farmakogenomikai kivizsgálása alapján indított személyre szabott gyógyszerelés klinikai hasznosságának megítéléséhez az elemszám növelésére és a vesefunkciós paraméterek összehasonlítására van szükség.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10702">
    <w:multiLevelType w:val="hybridMultilevel"/>
    <w:lvl w:ilvl="0" w:tplc="952593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10702">
    <w:abstractNumId w:val="910107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78876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