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SEHAYIK GARRETT ADRIANA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adriana.garrett@gmail.com</w:t>
            </w:r>
            <w:r w:rsidRPr="002361E2">
              <w:rPr>
                <w:i/>
              </w:rPr>
              <w:br/>
            </w:r>
            <w:r w:rsidR="00A96AEC">
              <w:t>Ápolás és betegellátás BSc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Eva Anett Csuhai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DE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erőszázalékos periodizált laktátküszöb-edzés hatása az erőemelők és az olimpiai súlyemelők fejlődésére és teljesítményére a három ismétléses maximumukban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Lactate acts as a buffer, a fuel, and hormonal signal for the body. During Anaerobic</w:t>
      </w:r>
      <w:r>
        <w:rPr>
          <w:color w:val="000000"/>
          <w:sz w:val="24"/>
          <w:szCs w:val="24"/>
        </w:rPr>
        <w:br/>
        <w:t xml:space="preserve">Glycolysis lactate is produced from pyruvate and H+ when the use of oxygen is absence.</w:t>
      </w:r>
      <w:r>
        <w:rPr>
          <w:color w:val="000000"/>
          <w:sz w:val="24"/>
          <w:szCs w:val="24"/>
        </w:rPr>
        <w:br/>
        <w:t xml:space="preserve">During exercise at a given intensity at which the blood concentration of lactate begins to</w:t>
      </w:r>
      <w:r>
        <w:rPr>
          <w:color w:val="000000"/>
          <w:sz w:val="24"/>
          <w:szCs w:val="24"/>
        </w:rPr>
        <w:br/>
        <w:t xml:space="preserve">increase rapidly, becomes the primary fuel source for the body, specifically slow twitch</w:t>
      </w:r>
      <w:r>
        <w:rPr>
          <w:color w:val="000000"/>
          <w:sz w:val="24"/>
          <w:szCs w:val="24"/>
        </w:rPr>
        <w:br/>
        <w:t xml:space="preserve">muscles fibres. This system can provide an additional 1.3-1.6 minutes of maximal muscle</w:t>
      </w:r>
      <w:r>
        <w:rPr>
          <w:color w:val="000000"/>
          <w:sz w:val="24"/>
          <w:szCs w:val="24"/>
        </w:rPr>
        <w:br/>
        <w:t xml:space="preserve">activity, this is extremely relevant for Powerlifters and Weightlifters, therefore focused</w:t>
      </w:r>
      <w:r>
        <w:rPr>
          <w:color w:val="000000"/>
          <w:sz w:val="24"/>
          <w:szCs w:val="24"/>
        </w:rPr>
        <w:br/>
        <w:t xml:space="preserve">training on the glycogen-lactic acid systems is important.</w:t>
      </w:r>
      <w:r>
        <w:rPr>
          <w:color w:val="000000"/>
          <w:sz w:val="24"/>
          <w:szCs w:val="24"/>
        </w:rPr>
        <w:br/>
        <w:t xml:space="preserve">The aim of this study was to implement a training specific protocol to accumulate lactate at</w:t>
      </w:r>
      <w:r>
        <w:rPr>
          <w:color w:val="000000"/>
          <w:sz w:val="24"/>
          <w:szCs w:val="24"/>
        </w:rPr>
        <w:br/>
        <w:t xml:space="preserve">a rapidly increased rate in order to see if a significant change would occur with each athlete</w:t>
      </w:r>
      <w:r>
        <w:rPr>
          <w:color w:val="000000"/>
          <w:sz w:val="24"/>
          <w:szCs w:val="24"/>
        </w:rPr>
        <w:br/>
        <w:t xml:space="preserve">3RM (3 Repetition Maximum) compared to their traditional strength training regimen.</w:t>
      </w:r>
      <w:r>
        <w:rPr>
          <w:color w:val="000000"/>
          <w:sz w:val="24"/>
          <w:szCs w:val="24"/>
        </w:rPr>
        <w:br/>
        <w:t xml:space="preserve">Nine subjects’ (8 males; 1 female; mean age: 27.22±3.42 years) 3RM were tested over the</w:t>
      </w:r>
      <w:r>
        <w:rPr>
          <w:color w:val="000000"/>
          <w:sz w:val="24"/>
          <w:szCs w:val="24"/>
        </w:rPr>
        <w:br/>
        <w:t xml:space="preserve">span of 13 weeks, the 1st, 7th, and 13th week. With the 1st 6 weeks comparing if there would</w:t>
      </w:r>
      <w:r>
        <w:rPr>
          <w:color w:val="000000"/>
          <w:sz w:val="24"/>
          <w:szCs w:val="24"/>
        </w:rPr>
        <w:br/>
        <w:t xml:space="preserve">be any change in the athletes 3RM with their normal strength program. During the 2nd 6-</w:t>
      </w:r>
      <w:r>
        <w:rPr>
          <w:color w:val="000000"/>
          <w:sz w:val="24"/>
          <w:szCs w:val="24"/>
        </w:rPr>
        <w:br/>
        <w:t xml:space="preserve">week intervention period one working set was performed till failure for back squat, deadlift</w:t>
      </w:r>
      <w:r>
        <w:rPr>
          <w:color w:val="000000"/>
          <w:sz w:val="24"/>
          <w:szCs w:val="24"/>
        </w:rPr>
        <w:br/>
        <w:t xml:space="preserve">or deadlift clean, and bench press or strict overhead press. Participants completed three</w:t>
      </w:r>
      <w:r>
        <w:rPr>
          <w:color w:val="000000"/>
          <w:sz w:val="24"/>
          <w:szCs w:val="24"/>
        </w:rPr>
        <w:br/>
        <w:t xml:space="preserve">strength training session per week, performing the failure set within 60 minutes of the</w:t>
      </w:r>
      <w:r>
        <w:rPr>
          <w:color w:val="000000"/>
          <w:sz w:val="24"/>
          <w:szCs w:val="24"/>
        </w:rPr>
        <w:br/>
        <w:t xml:space="preserve">training, with a weekly increasing percentage of weight from the subjects 3RM by 5% from</w:t>
      </w:r>
      <w:r>
        <w:rPr>
          <w:color w:val="000000"/>
          <w:sz w:val="24"/>
          <w:szCs w:val="24"/>
        </w:rPr>
        <w:br/>
        <w:t xml:space="preserve">65-85%, to measure whether this will increase their 3RM and movement efficiency during</w:t>
      </w:r>
      <w:r>
        <w:rPr>
          <w:color w:val="000000"/>
          <w:sz w:val="24"/>
          <w:szCs w:val="24"/>
        </w:rPr>
        <w:br/>
        <w:t xml:space="preserve">the last 85% test week at the end of 6 weeks, more, than if not implementing the protocol.</w:t>
      </w:r>
      <w:r>
        <w:rPr>
          <w:color w:val="000000"/>
          <w:sz w:val="24"/>
          <w:szCs w:val="24"/>
        </w:rPr>
        <w:br/>
        <w:t xml:space="preserve">Total repetitions and the duration of time for each exercise; Resting Heart Rate before the</w:t>
      </w:r>
      <w:r>
        <w:rPr>
          <w:color w:val="000000"/>
          <w:sz w:val="24"/>
          <w:szCs w:val="24"/>
        </w:rPr>
        <w:br/>
        <w:t xml:space="preserve">training; Carbon Dioxide Tolerance Test each morning of training days; Maximum Heart</w:t>
      </w:r>
      <w:r>
        <w:rPr>
          <w:color w:val="000000"/>
          <w:sz w:val="24"/>
          <w:szCs w:val="24"/>
        </w:rPr>
        <w:br/>
        <w:t xml:space="preserve">Rate during each training using a Polar watch; as well as Oxygen Saturation, Index Tapping</w:t>
      </w:r>
      <w:r>
        <w:rPr>
          <w:color w:val="000000"/>
          <w:sz w:val="24"/>
          <w:szCs w:val="24"/>
        </w:rPr>
        <w:br/>
        <w:t xml:space="preserve">Test, Grip strength assessment before and after the trainings were recorded; moreover, lactate</w:t>
      </w:r>
      <w:r>
        <w:rPr>
          <w:color w:val="000000"/>
          <w:sz w:val="24"/>
          <w:szCs w:val="24"/>
        </w:rPr>
        <w:br/>
        <w:t xml:space="preserve">level measurements were performed directly after each set.</w:t>
      </w:r>
      <w:r>
        <w:rPr>
          <w:color w:val="000000"/>
          <w:sz w:val="24"/>
          <w:szCs w:val="24"/>
        </w:rPr>
        <w:br/>
        <w:t xml:space="preserve">The statistical methods used to process the data, the results of the last 3RM, and our</w:t>
      </w:r>
      <w:r>
        <w:rPr>
          <w:color w:val="000000"/>
          <w:sz w:val="24"/>
          <w:szCs w:val="24"/>
        </w:rPr>
        <w:br/>
        <w:t xml:space="preserve">conclusions on the effects of the research will be available at the Student Research</w:t>
      </w:r>
      <w:r>
        <w:rPr>
          <w:color w:val="000000"/>
          <w:sz w:val="24"/>
          <w:szCs w:val="24"/>
        </w:rPr>
        <w:br/>
        <w:t xml:space="preserve">Conference, as the intervention and measurements are still taking place at the closing date</w:t>
      </w:r>
      <w:r>
        <w:rPr>
          <w:color w:val="000000"/>
          <w:sz w:val="24"/>
          <w:szCs w:val="24"/>
        </w:rPr>
        <w:br/>
        <w:t xml:space="preserve">for the conference registration.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312771">
    <w:multiLevelType w:val="hybridMultilevel"/>
    <w:lvl w:ilvl="0" w:tplc="343211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312771">
    <w:abstractNumId w:val="813127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20431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