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BODÓ ANGELIKA</w:t>
            </w:r>
          </w:p>
          <w:p w:rsidR="00C275A3" w:rsidRDefault="00186641" w:rsidP="00C275A3">
            <w:pPr>
              <w:pStyle w:val="Hallgatokepzes"/>
            </w:pPr>
            <w:r w:rsidRPr="002361E2">
              <w:rPr>
                <w:i/>
              </w:rPr>
              <w:t>bodo.angelika@gmail.com</w:t>
            </w:r>
            <w:r w:rsidRPr="002361E2">
              <w:rPr>
                <w:i/>
              </w:rPr>
              <w:br/>
            </w:r>
            <w:r w:rsidR="00A96AEC">
              <w:t>általános orvos</w:t>
            </w:r>
            <w:r w:rsidR="00A96AEC">
              <w:br/>
            </w:r>
            <w:r w:rsidR="00E77B23">
              <w:t>Osztatlan, 6.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Hernádi István</w:t>
            </w:r>
          </w:p>
          <w:p w:rsidR="00DB4822" w:rsidRDefault="00DB4822" w:rsidP="009763E0">
            <w:pPr>
              <w:pStyle w:val="Konzulensektitulus"/>
            </w:pPr>
            <w:r w:rsidRPr="00DB4822">
              <w:t>egyetemi docens,  Pécsi Tudományegyetem Grastyán E. Transzlációs Kutatási Központ</w:t>
            </w:r>
          </w:p>
        </w:tc>
      </w:tr>
      <w:tr w:rsidR="00DB4822" w:rsidTr="00DB4822">
        <w:tc>
          <w:tcPr>
            <w:tcW w:w="9854" w:type="dxa"/>
          </w:tcPr>
          <w:p w:rsidR="00DB4822" w:rsidRPr="00DB4822" w:rsidRDefault="00DB4822" w:rsidP="009763E0">
            <w:pPr>
              <w:pStyle w:val="Konzulenseknev"/>
            </w:pPr>
            <w:r w:rsidRPr="00DB4822">
              <w:t>Dr. Bali Zsolt Kristóf</w:t>
            </w:r>
          </w:p>
          <w:p w:rsidR="00DB4822" w:rsidRDefault="00DB4822" w:rsidP="009763E0">
            <w:pPr>
              <w:pStyle w:val="Konzulensektitulus"/>
            </w:pPr>
            <w:r w:rsidRPr="00DB4822">
              <w:t>tudományos munkatárs,  Pécsi Tudományegyetem Grastyán E. Transzlációs Kutatási 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DREADD kemogenetikai technológia alkalmazása patkányok táplálékfelvételének csökkentésére a lateralis hypothalamicus area elcsendesítésével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és célkitűzés: A DREADD (Drug Receptors Excusively Activated by Designer Drugs) egy idegtudományi alapkutatásokban széleskörűen alkalmazott módszer, melynek lényege, hogy célzott, szomatikus mutációk előidézésével endogén liganddal nem rendelkező, de ún. aktuátorok által reverzibilisen aktiválható vagy gátolható módosított receptorok génjét expresszáltatjuk a vizsgálni kívánt agyterületen. Mivel működéséve kapcsolatban számos részlet tisztázatlan, előzetes validációs kísérleteket folytattunk, melyek céljaként a lateralis hypothalamicus area (LHA) DREADD technológia általi elcsendsítését tűztük ki.</w:t>
      </w:r>
    </w:p>
    <w:p>
      <w:pPr>
        <w:widowControl w:val="on"/>
        <w:pBdr/>
        <w:spacing w:before="240" w:after="240" w:line="240" w:lineRule="auto"/>
        <w:ind w:left="0" w:right="0"/>
        <w:jc w:val="left"/>
      </w:pPr>
      <w:r>
        <w:rPr>
          <w:color w:val="000000"/>
          <w:sz w:val="24"/>
          <w:szCs w:val="24"/>
        </w:rPr>
        <w:t xml:space="preserve">Módszerek: Sztereotaxikus műtéti elrendezésben olyan adeno-asszociált vírusvektorokat (AAV5, AAV9) injektáltunk az LHA területére, melyek a hM4D(Gi) módosított kolinerg receptor génjét expresszálták a célsejtekben. Az aktuátorok: clozapine-N-oxide (CNO) vagy deschloroclozapine (DCZ) subcutan (s.c.) vagy szájon át történő bejuttatása után átmeneti táplálékfelvétel-csökkenésre számítottunk, az anyagok hatásosságát a tápfelvétel 30 perces, majd 8 órán keresztüli monitorozásával igazoltuk. A DCZ hatásosságának időbeli lecsengését közepes dózisának különböző időpontokban történt injektálásával vizsgáltuk.</w:t>
      </w:r>
    </w:p>
    <w:p>
      <w:pPr>
        <w:widowControl w:val="on"/>
        <w:pBdr/>
        <w:spacing w:before="240" w:after="240" w:line="240" w:lineRule="auto"/>
        <w:ind w:left="0" w:right="0"/>
        <w:jc w:val="left"/>
      </w:pPr>
      <w:r>
        <w:rPr>
          <w:color w:val="000000"/>
          <w:sz w:val="24"/>
          <w:szCs w:val="24"/>
        </w:rPr>
        <w:t xml:space="preserve">Eredmények: A CNO az AAV5 csoportban mind a 30 perc, mind a 8 óra alatt mért adatok alapján csökkentette a táplálékfelvételt közepes és magas dózisban. A DCZ csökkentette mind a 30 perces, mind a 8 órás összesített tápfelvételt az AAV5 és az AAV9 csoportban mindhárom dózisban s.c. és p.o. kezelést követően. Az AAV5 és az AAV9 csoportban 30 perccel a visszaetetés után szignifikánsan több tápot fogyasztottak azok, akik 16 órával a visszaetetés előtt kaptak aktuátort.</w:t>
      </w:r>
    </w:p>
    <w:p>
      <w:pPr>
        <w:widowControl w:val="on"/>
        <w:pBdr/>
        <w:spacing w:before="240" w:after="240" w:line="240" w:lineRule="auto"/>
        <w:ind w:left="0" w:right="0"/>
        <w:jc w:val="left"/>
      </w:pPr>
      <w:r>
        <w:rPr>
          <w:color w:val="000000"/>
          <w:sz w:val="24"/>
          <w:szCs w:val="24"/>
        </w:rPr>
        <w:t xml:space="preserve">Megbeszélés: Az általunk alkalmazott technológia mindkét vektor szerotípus esetén alkalmasnak bizonyult a tápfelvétel reverzibilis csökkentésére, integrálódásuk sikerességét fluoreszcencia mikroszkópos vizsgálataink is megerősítették, ugyanakkor még további vizsgálatokra van szükség, mielőtt kiválasztjuk a megfelelően stabil kísérleti elrendezést és átültethetjük a technológiát későbbi, humán demenciák patofiziológiáját modellező kognitív idegtudományi kísérleteinkbe.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64290">
    <w:multiLevelType w:val="hybridMultilevel"/>
    <w:lvl w:ilvl="0" w:tplc="54268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64290">
    <w:abstractNumId w:val="71364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449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