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KIANA KHALIGH SHOTORBANI</w:t>
            </w:r>
          </w:p>
          <w:p w:rsidR="00C275A3" w:rsidRDefault="00186641" w:rsidP="00C275A3">
            <w:pPr>
              <w:pStyle w:val="Hallgatokepzes"/>
            </w:pPr>
            <w:r w:rsidRPr="002361E2">
              <w:rPr>
                <w:i/>
              </w:rPr>
              <w:t>kianakhaligh11@icloud.com</w:t>
            </w:r>
            <w:r w:rsidRPr="002361E2">
              <w:rPr>
                <w:i/>
              </w:rPr>
              <w:br/>
            </w:r>
            <w:r w:rsidR="00A96AEC">
              <w:t>Általános Orvostudományi Szak</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Horváth Iván Gábor</w:t>
            </w:r>
          </w:p>
          <w:p w:rsidR="00DB4822" w:rsidRDefault="00DB4822" w:rsidP="009763E0">
            <w:pPr>
              <w:pStyle w:val="Konzulensektitulus"/>
            </w:pPr>
            <w:r w:rsidRPr="00DB4822">
              <w:t>senior lecturer,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admitted STEMI and NSTEMI patients’ numbers before, during, and after the COVID-19 pandemic at the Pécs - Clinical Centre - Heart Institute </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Introduction:</w:t>
      </w:r>
      <w:r>
        <w:rPr>
          <w:color w:val="000000"/>
          <w:sz w:val="24"/>
          <w:szCs w:val="24"/>
        </w:rPr>
        <w:br/>
        <w:t xml:space="preserve">Acute coronary syndrome (ACS) admission rates during the COVID-19 pandemic have changed significantly. Global evidence shows fewer ACS cases than expected during COVID-19.</w:t>
      </w:r>
      <w:r>
        <w:rPr>
          <w:color w:val="000000"/>
          <w:sz w:val="24"/>
          <w:szCs w:val="24"/>
        </w:rPr>
        <w:br/>
        <w:t xml:space="preserve">This study aims to investigate the administration of AMI Patients who underwent PCI in the Pécs - Heart Institute before and after COVID-19.</w:t>
      </w:r>
    </w:p>
    <w:p>
      <w:pPr>
        <w:widowControl w:val="on"/>
        <w:pBdr/>
        <w:spacing w:before="240" w:after="240" w:line="240" w:lineRule="auto"/>
        <w:ind w:left="0" w:right="0"/>
        <w:jc w:val="left"/>
      </w:pPr>
      <w:r>
        <w:rPr>
          <w:color w:val="000000"/>
          <w:sz w:val="24"/>
          <w:szCs w:val="24"/>
        </w:rPr>
        <w:t xml:space="preserve">Method:</w:t>
      </w:r>
      <w:r>
        <w:rPr>
          <w:color w:val="000000"/>
          <w:sz w:val="24"/>
          <w:szCs w:val="24"/>
        </w:rPr>
        <w:br/>
        <w:t xml:space="preserve">We collected the data from the Hungarian National Myocardial infarction registry for all patients admitted to Pécs clinic for MI. We analyzed the Monthly admission numbers of patients from Jan. 2019 to May. 2022.</w:t>
      </w:r>
      <w:r>
        <w:rPr>
          <w:color w:val="000000"/>
          <w:sz w:val="24"/>
          <w:szCs w:val="24"/>
        </w:rPr>
        <w:br/>
        <w:t xml:space="preserve">The Parson’s chi-square of association tests was performed to assess if there is a significant difference in STEMI and NSTEMI.</w:t>
      </w:r>
      <w:r>
        <w:rPr>
          <w:color w:val="000000"/>
          <w:sz w:val="24"/>
          <w:szCs w:val="24"/>
        </w:rPr>
        <w:br/>
        <w:t xml:space="preserve">In the second part, we conducted a literature review to see the difference with other countries and check previously identified possible causal links between COVID-19 and MI.</w:t>
      </w:r>
    </w:p>
    <w:p>
      <w:pPr>
        <w:widowControl w:val="on"/>
        <w:pBdr/>
        <w:spacing w:before="240" w:after="240" w:line="240" w:lineRule="auto"/>
        <w:ind w:left="0" w:right="0"/>
        <w:jc w:val="left"/>
      </w:pPr>
      <w:r>
        <w:rPr>
          <w:color w:val="000000"/>
          <w:sz w:val="24"/>
          <w:szCs w:val="24"/>
        </w:rPr>
        <w:t xml:space="preserve">Result:</w:t>
      </w:r>
      <w:r>
        <w:rPr>
          <w:color w:val="000000"/>
          <w:sz w:val="24"/>
          <w:szCs w:val="24"/>
        </w:rPr>
        <w:br/>
        <w:t xml:space="preserve">From the total number of 1385 Patients, the monthly numbers of MI cases were significantly reduced in 2020 and 2021 compared to 2019 (P=0.0078, P=0.0003, respectively).</w:t>
      </w:r>
      <w:r>
        <w:rPr>
          <w:color w:val="000000"/>
          <w:sz w:val="24"/>
          <w:szCs w:val="24"/>
        </w:rPr>
        <w:br/>
        <w:t xml:space="preserve">Regarding the changes in the ratio of STEMI to NSTEMI, in contrast to 2019, the proportion of patients admitted to our clinic with NSTEMI was significantly lower than those admitted with STEMI in 2020 and 2021 (P=0.008, P=0.006 )</w:t>
      </w:r>
    </w:p>
    <w:p>
      <w:pPr>
        <w:widowControl w:val="on"/>
        <w:pBdr/>
        <w:spacing w:before="240" w:after="240" w:line="240" w:lineRule="auto"/>
        <w:ind w:left="0" w:right="0"/>
        <w:jc w:val="left"/>
      </w:pPr>
      <w:r>
        <w:rPr>
          <w:color w:val="000000"/>
          <w:sz w:val="24"/>
          <w:szCs w:val="24"/>
        </w:rPr>
        <w:t xml:space="preserve">Conclusion:</w:t>
      </w:r>
      <w:r>
        <w:rPr>
          <w:color w:val="000000"/>
          <w:sz w:val="24"/>
          <w:szCs w:val="24"/>
        </w:rPr>
        <w:br/>
        <w:t xml:space="preserve">This study indicates the impacts of COVID-19 on reducing AMI patient admissions. The reduced number during this period is likely to have resulted in increased out-of-hospital deaths and long-term complications of myocardial infarction and constitute severe medical-related issues, demanding attention from health care providers.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74829">
    <w:multiLevelType w:val="hybridMultilevel"/>
    <w:lvl w:ilvl="0" w:tplc="20286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74829">
    <w:abstractNumId w:val="531748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609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