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PETNEHÁZY ZALÁN</w:t>
            </w:r>
          </w:p>
          <w:p w:rsidR="00C275A3" w:rsidRDefault="00186641" w:rsidP="00C275A3">
            <w:pPr>
              <w:pStyle w:val="Hallgatokepzes"/>
            </w:pPr>
            <w:r w:rsidRPr="002361E2">
              <w:rPr>
                <w:i/>
              </w:rPr>
              <w:t>zalan.ptn@gmail.com</w:t>
            </w:r>
            <w:r w:rsidRPr="002361E2">
              <w:rPr>
                <w:i/>
              </w:rPr>
              <w:br/>
            </w:r>
            <w:r w:rsidR="00A96AEC">
              <w:t>Általános Orvostudományi Szak</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Környei Bálint</w:t>
            </w:r>
          </w:p>
          <w:p w:rsidR="00DB4822" w:rsidRDefault="00DB4822" w:rsidP="009763E0">
            <w:pPr>
              <w:pStyle w:val="Konzulensektitulus"/>
            </w:pPr>
            <w:r w:rsidRPr="00DB4822">
              <w:t>PhD hallgató, PTE ÁOK</w:t>
            </w:r>
          </w:p>
        </w:tc>
      </w:tr>
      <w:tr w:rsidR="00DB4822" w:rsidTr="00DB4822">
        <w:tc>
          <w:tcPr>
            <w:tcW w:w="9854" w:type="dxa"/>
          </w:tcPr>
          <w:p w:rsidR="00DB4822" w:rsidRPr="00DB4822" w:rsidRDefault="00DB4822" w:rsidP="009763E0">
            <w:pPr>
              <w:pStyle w:val="Konzulenseknev"/>
            </w:pPr>
            <w:r w:rsidRPr="00DB4822">
              <w:t>Dr. Tóth Arnold</w:t>
            </w:r>
          </w:p>
          <w:p w:rsidR="00DB4822" w:rsidRDefault="00DB4822" w:rsidP="009763E0">
            <w:pPr>
              <w:pStyle w:val="Konzulensektitulus"/>
            </w:pPr>
            <w:r w:rsidRPr="00DB4822">
              <w:t>intervenciós radiológiai tanszékvezető, 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Traumás eredetű mikrovérzések tractus szintű jelentőségének vizsgálata modern MRI módszerekkel.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p>
    <w:p>
      <w:pPr>
        <w:widowControl w:val="on"/>
        <w:pBdr/>
        <w:spacing w:before="240" w:after="240" w:line="240" w:lineRule="auto"/>
        <w:ind w:left="0" w:right="0"/>
        <w:jc w:val="left"/>
      </w:pPr>
      <w:r>
        <w:rPr>
          <w:color w:val="000000"/>
          <w:sz w:val="24"/>
          <w:szCs w:val="24"/>
        </w:rPr>
        <w:t xml:space="preserve">A szuszceptibilitás súlyozott (susceptibility weighted- SWI) MRI, számos neurológiai kórképben kialakuló fehérállományi mikrovézések (cerebral microbleed- CMB) detektálásának érzékeny eszköze, azonban a CMBk kapcsolata a fehérállomány mikrostukturális integritásával még nem teljesen tisztázott. Kutatásunk célja a koponyatrauma hatására kialakuló, diffúz axonkárosodás kapcsolt (traumatic microbleed- TMB) CMBk tractus szintű jelentőségének vizsgálata diffúziós tenzor (diffusioin tensor imaging- DTI) MRI segítségével.</w:t>
      </w:r>
    </w:p>
    <w:p>
      <w:pPr>
        <w:widowControl w:val="on"/>
        <w:pBdr/>
        <w:spacing w:before="240" w:after="240" w:line="240" w:lineRule="auto"/>
        <w:ind w:left="0" w:right="0"/>
        <w:jc w:val="left"/>
      </w:pPr>
      <w:r>
        <w:rPr>
          <w:color w:val="000000"/>
          <w:sz w:val="24"/>
          <w:szCs w:val="24"/>
        </w:rPr>
        <w:t xml:space="preserve">Módszer</w:t>
      </w:r>
    </w:p>
    <w:p>
      <w:pPr>
        <w:widowControl w:val="on"/>
        <w:pBdr/>
        <w:spacing w:before="240" w:after="240" w:line="240" w:lineRule="auto"/>
        <w:ind w:left="0" w:right="0"/>
        <w:jc w:val="left"/>
      </w:pPr>
      <w:r>
        <w:rPr>
          <w:color w:val="000000"/>
          <w:sz w:val="24"/>
          <w:szCs w:val="24"/>
        </w:rPr>
        <w:t xml:space="preserve">Vizsgálatunk alanyai 20 akut koponyatraumát szenvedett, korábban negatív neurológiai, pszichiátriai és neurotraumatológiai anamnézissel rendelkező és 20 korra (±3 év) egyeztetett egészséges kontroll alany voltak. Probabilisztikus modell alapján rekonstruált 42 tractus átlag DTI paraméterei (frakcionális anizotrópia-FA, átlagos diffúzivitás-MD, axiális diffúzivitás-AD és radiális diffúzivitás-RD), a CMBk száma és tractus-szintű lokalizációja került rögzítésre. Egyénenként maximum három CMB pozitív tractus került random beválogatásra. TMB pozitív, ezek épnek tűnő contralateralis párjai, valamint kontroll identikus tractusok és ellenoldali párjuk diffúziós paraméterei közti eltéréseket Bonferoni korrigált Friedman teszt segítségével vizsgáltuk.</w:t>
      </w:r>
    </w:p>
    <w:p>
      <w:pPr>
        <w:widowControl w:val="on"/>
        <w:pBdr/>
        <w:spacing w:before="240" w:after="240" w:line="240" w:lineRule="auto"/>
        <w:ind w:left="0" w:right="0"/>
        <w:jc w:val="left"/>
      </w:pPr>
      <w:r>
        <w:rPr>
          <w:color w:val="000000"/>
          <w:sz w:val="24"/>
          <w:szCs w:val="24"/>
        </w:rPr>
        <w:t xml:space="preserve">Eredmények</w:t>
      </w:r>
    </w:p>
    <w:p>
      <w:pPr>
        <w:widowControl w:val="on"/>
        <w:pBdr/>
        <w:spacing w:before="240" w:after="240" w:line="240" w:lineRule="auto"/>
        <w:ind w:left="0" w:right="0"/>
        <w:jc w:val="left"/>
      </w:pPr>
      <w:r>
        <w:rPr>
          <w:color w:val="000000"/>
          <w:sz w:val="24"/>
          <w:szCs w:val="24"/>
        </w:rPr>
        <w:t xml:space="preserve">72 TMB-t tartalmazó 49 tractus és ellenoldali identikus tractusokban, kontrol ipsi- és contralaterális tractusokhoz viszonyítva MD, AD, RD emelkedés (p&lt;0.05) volt tapasztalható. A TMB  pozitív tractusok saját ellenoldalhoz képest nem mutattak eltérést.</w:t>
      </w:r>
    </w:p>
    <w:p>
      <w:pPr>
        <w:widowControl w:val="on"/>
        <w:pBdr/>
        <w:spacing w:before="240" w:after="240" w:line="240" w:lineRule="auto"/>
        <w:ind w:left="0" w:right="0"/>
        <w:jc w:val="left"/>
      </w:pPr>
      <w:r>
        <w:rPr>
          <w:color w:val="000000"/>
          <w:sz w:val="24"/>
          <w:szCs w:val="24"/>
        </w:rPr>
        <w:t xml:space="preserve">Megbeszélés</w:t>
      </w:r>
    </w:p>
    <w:p>
      <w:pPr>
        <w:widowControl w:val="on"/>
        <w:pBdr/>
        <w:spacing w:before="240" w:after="240" w:line="240" w:lineRule="auto"/>
        <w:ind w:left="0" w:right="0"/>
        <w:jc w:val="left"/>
      </w:pPr>
      <w:r>
        <w:rPr>
          <w:color w:val="000000"/>
          <w:sz w:val="24"/>
          <w:szCs w:val="24"/>
        </w:rPr>
        <w:t xml:space="preserve">Koponyatraumában mind a TMB pozitív tractusok, mind ellenoldali, épnek tűnő párjuk szignifikáns DTI eltéréseket mutattak kontrollokhoz képest azonban TMB pozitív pályák nem mutattak szignifikáns eltérést saját, ellenoldali identikus tractusokhoz viszonítva. Ennek alapján következtetésünk, hogy tractus szinten a traumatikus mikrovérzések nem feltétlenül markerei a diffúz axon károsodásnak, valamint, hogy TMBk hiányában nem zárható ki az épnek tűnő fehérállományi pályák sérülése. Eredményeink továbbá felhívják a figyelmet koponyatraumában a DTI MRI egyéni szinten alkalmazhatóvá fejlesztésének szükségessgére.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56767">
    <w:multiLevelType w:val="hybridMultilevel"/>
    <w:lvl w:ilvl="0" w:tplc="36402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56767">
    <w:abstractNumId w:val="909567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294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