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david012david@gmail.com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Környei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Koponyatrauma hatására bekövetkező fehérállományi mikrostrukturális elváltozások követéses vizsgálata modern MRI modalitásokkal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koponyasérülés a fejlett társadalmak vezető halálokaként számontartott károsodás. A</w:t>
      </w:r>
      <w:r>
        <w:rPr>
          <w:color w:val="000000"/>
          <w:sz w:val="24"/>
          <w:szCs w:val="24"/>
        </w:rPr>
        <w:br/>
        <w:t xml:space="preserve">koponyatrauma hatására kialakuló diffúz axonális sérülés (diffuse axonal injury-DAI) asszociált patológiai</w:t>
      </w:r>
      <w:r>
        <w:rPr>
          <w:color w:val="000000"/>
          <w:sz w:val="24"/>
          <w:szCs w:val="24"/>
        </w:rPr>
        <w:br/>
        <w:t xml:space="preserve">komponensei, mint a mikrovérzések és fokális ödémák, láthatóvá tehetők modern MRI modalitásokkal. Ezen</w:t>
      </w:r>
      <w:r>
        <w:rPr>
          <w:color w:val="000000"/>
          <w:sz w:val="24"/>
          <w:szCs w:val="24"/>
        </w:rPr>
        <w:br/>
        <w:t xml:space="preserve">asszociált mikrovérzések diagnosztikájában gold standard MR modalitás a szuszceptibilitás súlyozott (SWI)</w:t>
      </w:r>
      <w:r>
        <w:rPr>
          <w:color w:val="000000"/>
          <w:sz w:val="24"/>
          <w:szCs w:val="24"/>
        </w:rPr>
        <w:br/>
        <w:t xml:space="preserve">képalkotás. Korábbi kutatásunkban vizsgáltuk a DAI asszociált mikrovérzések diffúziós tenzor képalkotással</w:t>
      </w:r>
      <w:r>
        <w:rPr>
          <w:color w:val="000000"/>
          <w:sz w:val="24"/>
          <w:szCs w:val="24"/>
        </w:rPr>
        <w:br/>
        <w:t xml:space="preserve">traumát követően mutatott származtatott diffúziós paraméter eltéréseit. Jelen kutatásunkban ezen paraméter</w:t>
      </w:r>
      <w:r>
        <w:rPr>
          <w:color w:val="000000"/>
          <w:sz w:val="24"/>
          <w:szCs w:val="24"/>
        </w:rPr>
        <w:br/>
        <w:t xml:space="preserve">eltérések időbeli alakulásának vizsgálatát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Pszichiátriai, neurológiai és korábbi koponyatraumára negatív anamnézissel rendelkező 13</w:t>
      </w:r>
      <w:r>
        <w:rPr>
          <w:color w:val="000000"/>
          <w:sz w:val="24"/>
          <w:szCs w:val="24"/>
        </w:rPr>
        <w:br/>
        <w:t xml:space="preserve">MAYO súlyos-középsúlyos koponyasérült szubakut, továbbá 1 éves követési, 16 5 évnél régebbi</w:t>
      </w:r>
      <w:r>
        <w:rPr>
          <w:color w:val="000000"/>
          <w:sz w:val="24"/>
          <w:szCs w:val="24"/>
        </w:rPr>
        <w:br/>
        <w:t xml:space="preserve">koponyatrauma anamnézissel rendelkező koponyasérült beteg felvételeit vetettük össze korra egyeztetett (+-3</w:t>
      </w:r>
      <w:r>
        <w:rPr>
          <w:color w:val="000000"/>
          <w:sz w:val="24"/>
          <w:szCs w:val="24"/>
        </w:rPr>
        <w:br/>
        <w:t xml:space="preserve">év) kontrol alanyok felvételeivel. A mikrovérzések precíz definiálása érdekében az SWI felvételek</w:t>
      </w:r>
      <w:r>
        <w:rPr>
          <w:color w:val="000000"/>
          <w:sz w:val="24"/>
          <w:szCs w:val="24"/>
        </w:rPr>
        <w:br/>
        <w:t xml:space="preserve">koregisztrációját hajtottuk végre jó szöveti kontrasztú, T1 súlyozott MPRAGE felvételekkel. Probabilisztikus</w:t>
      </w:r>
      <w:r>
        <w:rPr>
          <w:color w:val="000000"/>
          <w:sz w:val="24"/>
          <w:szCs w:val="24"/>
        </w:rPr>
        <w:br/>
        <w:t xml:space="preserve">modell alapján rekonstruáltuk a fehérállományt, a periléziónáris fehérállomány vizsgálatát FSL 6.0 (FMRIB,</w:t>
      </w:r>
      <w:r>
        <w:rPr>
          <w:color w:val="000000"/>
          <w:sz w:val="24"/>
          <w:szCs w:val="24"/>
        </w:rPr>
        <w:br/>
        <w:t xml:space="preserve">Oxford) alapú, házi fejlesztésű félautomata algoritmus végezte, a mikrovérzés középpontjától mért 20mm-ig</w:t>
      </w:r>
      <w:r>
        <w:rPr>
          <w:color w:val="000000"/>
          <w:sz w:val="24"/>
          <w:szCs w:val="24"/>
        </w:rPr>
        <w:br/>
        <w:t xml:space="preserve">2mm-enként koncentrikusan távolodó területeken. A gömbhéjak és a tractográfia során kapott fehérállomány</w:t>
      </w:r>
      <w:r>
        <w:rPr>
          <w:color w:val="000000"/>
          <w:sz w:val="24"/>
          <w:szCs w:val="24"/>
        </w:rPr>
        <w:br/>
        <w:t xml:space="preserve">metszeti voxeleinek átlag diffúziós paraméterei egyénenként, léziókként rögzítésre kerültek.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Akut felvételeken lévő szignifikáns (p&lt;0,05) perilézionáris diffúziós paraméter eltérések, FA csökkenés, MD</w:t>
      </w:r>
      <w:r>
        <w:rPr>
          <w:color w:val="000000"/>
          <w:sz w:val="24"/>
          <w:szCs w:val="24"/>
        </w:rPr>
        <w:br/>
        <w:t xml:space="preserve">RD emelkedések, az 1 éves követéses felvételeken továbbra is szignifikáns eltéréseket mutatnak a kontrol</w:t>
      </w:r>
      <w:r>
        <w:rPr>
          <w:color w:val="000000"/>
          <w:sz w:val="24"/>
          <w:szCs w:val="24"/>
        </w:rPr>
        <w:br/>
        <w:t xml:space="preserve">csoport felvételeihez képest. A több mint 5 éves koponyatrauma anamnézissel rendelkező csoport</w:t>
      </w:r>
      <w:r>
        <w:rPr>
          <w:color w:val="000000"/>
          <w:sz w:val="24"/>
          <w:szCs w:val="24"/>
        </w:rPr>
        <w:br/>
        <w:t xml:space="preserve">perilézionáris diffúzios paraméter eltérései szignifikánsan megtartottak maradnak és további AD emelkedés volt</w:t>
      </w:r>
      <w:r>
        <w:rPr>
          <w:color w:val="000000"/>
          <w:sz w:val="24"/>
          <w:szCs w:val="24"/>
        </w:rPr>
        <w:br/>
        <w:t xml:space="preserve">tapasztalható.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koponyatrauma hatására kialakuló fehérállományi mikrovérzések környezetében</w:t>
      </w:r>
      <w:r>
        <w:rPr>
          <w:color w:val="000000"/>
          <w:sz w:val="24"/>
          <w:szCs w:val="24"/>
        </w:rPr>
        <w:br/>
        <w:t xml:space="preserve">kimutatható DTI paraméter eltérések az idő múlásával megtartottak maradnak.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33983">
    <w:multiLevelType w:val="hybridMultilevel"/>
    <w:lvl w:ilvl="0" w:tplc="78344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33983">
    <w:abstractNumId w:val="63633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112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