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JÓNÁS BENCE</w:t>
            </w:r>
          </w:p>
          <w:p w:rsidR="00C275A3" w:rsidRDefault="00186641" w:rsidP="00C275A3">
            <w:pPr>
              <w:pStyle w:val="Hallgatokepzes"/>
            </w:pPr>
            <w:r w:rsidRPr="002361E2">
              <w:rPr>
                <w:i/>
              </w:rPr>
              <w:t>jonas.bence@pte.hu</w:t>
            </w:r>
            <w:r w:rsidRPr="002361E2">
              <w:rPr>
                <w:i/>
              </w:rPr>
              <w:br/>
            </w:r>
            <w:r w:rsidR="00A96AEC">
              <w:t>Gyógyszerész</w:t>
            </w:r>
            <w:r w:rsidR="00A96AEC">
              <w:br/>
            </w:r>
            <w:r w:rsidR="00E77B23">
              <w:t>Osztatlan, 4.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Bertalan Andrea</w:t>
            </w:r>
          </w:p>
          <w:p w:rsidR="00DB4822" w:rsidRDefault="00DB4822" w:rsidP="009763E0">
            <w:pPr>
              <w:pStyle w:val="Konzulensektitulus"/>
            </w:pPr>
            <w:r w:rsidRPr="00DB4822">
              <w:t>szakorvos, PTE ÁOK</w:t>
            </w:r>
          </w:p>
        </w:tc>
      </w:tr>
      <w:tr w:rsidR="00DB4822" w:rsidTr="00DB4822">
        <w:tc>
          <w:tcPr>
            <w:tcW w:w="9854" w:type="dxa"/>
          </w:tcPr>
          <w:p w:rsidR="00DB4822" w:rsidRPr="00DB4822" w:rsidRDefault="00DB4822" w:rsidP="009763E0">
            <w:pPr>
              <w:pStyle w:val="Konzulenseknev"/>
            </w:pPr>
            <w:r w:rsidRPr="00DB4822">
              <w:t>Dr. Fusz Katalin PhD</w:t>
            </w:r>
          </w:p>
          <w:p w:rsidR="00DB4822" w:rsidRDefault="00DB4822" w:rsidP="009763E0">
            <w:pPr>
              <w:pStyle w:val="Konzulensektitulus"/>
            </w:pPr>
            <w:r w:rsidRPr="00DB4822">
              <w:t>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Perioperatív kockázatbecslés a szívsebészeben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1999-ben jelent meg a European System for Cardiac Operative Risk Evaluation (EuroSCORE) additív változata, majd 2012-ben közölték a frissített EuroSCORE II-t. Ez idő alatt a pontrendszer a világ egyik vezető perioperatív kockázatbecslő módszerévé vált a szívsebészetben. A mortalitás preoperatív becslése fontos a humán- és pénzügyi erőforrások allokációjában, illetve az adott centrum teljesítményének mérésében is.</w:t>
      </w:r>
    </w:p>
    <w:p>
      <w:pPr>
        <w:widowControl w:val="on"/>
        <w:pBdr/>
        <w:spacing w:before="240" w:after="240" w:line="240" w:lineRule="auto"/>
        <w:ind w:left="0" w:right="0"/>
        <w:jc w:val="left"/>
      </w:pPr>
      <w:r>
        <w:rPr>
          <w:color w:val="000000"/>
          <w:sz w:val="24"/>
          <w:szCs w:val="24"/>
        </w:rPr>
        <w:t xml:space="preserve">Módszerek: Retrospektív vizsgálatunkban koronária bypass graft (CABG), aorta billentyű beültetés (AVR), mitrális billentyű beültetés (MVR) és mellkasi aortán végzett beavatkozásokon átesett betegeink elektronikus és papír alapú dokumentációjából nyertünk adatokat egy kétéves periódus alatt. Jelenleg a klinikai gyakorlatban használt additív EuroSCORE mellett, kutatásunk során felvettük a EuroSCORE II-t is. A vizsgálatba 303 klinikánkon operált beteget válogattunk be: CABG 76,2% (231), AVR 11.6% (35), MVR 7.3% (22), mellkasi aorta műtétei 5% (15). ROC analízissel vizsgáltuk a EuroSCORE I és a EuroSCORE II hatékonyságát a betegpopulációnkban.</w:t>
      </w:r>
    </w:p>
    <w:p>
      <w:pPr>
        <w:widowControl w:val="on"/>
        <w:pBdr/>
        <w:spacing w:before="240" w:after="240" w:line="240" w:lineRule="auto"/>
        <w:ind w:left="0" w:right="0"/>
        <w:jc w:val="left"/>
      </w:pPr>
      <w:r>
        <w:rPr>
          <w:color w:val="000000"/>
          <w:sz w:val="24"/>
          <w:szCs w:val="24"/>
        </w:rPr>
        <w:t xml:space="preserve">Eredmények: A két score rendszer jól becsli a postoperatív mortalitást: AUC 0,901 (0.045) [0.814-0.989] vs. AUC 0.949 (0.045) [0.899-0.999]. A két score prediktív pontosságában nem találtunk szignifikáns különbséget (p&gt;0,05).</w:t>
      </w:r>
    </w:p>
    <w:p>
      <w:pPr>
        <w:widowControl w:val="on"/>
        <w:pBdr/>
        <w:spacing w:before="240" w:after="240" w:line="240" w:lineRule="auto"/>
        <w:ind w:left="0" w:right="0"/>
        <w:jc w:val="left"/>
      </w:pPr>
      <w:r>
        <w:rPr>
          <w:color w:val="000000"/>
          <w:sz w:val="24"/>
          <w:szCs w:val="24"/>
        </w:rPr>
        <w:t xml:space="preserve">Következtetés: Vizsgálatunkkal kutatásunk későbbi irányvonalait alapoztuk meg. Beválogatásra kerültek a fontos pre-, peri- és postoperatív változók. Egyszeres műtétek esetében a EuroSCORE jól becsli a postoperatív mortalitást. Postoperatív halálozás tekintetében osztályunknak sikerült a EuroSCORE II szerinti becsült mortalitás alatt maradni.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24233">
    <w:multiLevelType w:val="hybridMultilevel"/>
    <w:lvl w:ilvl="0" w:tplc="49521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24233">
    <w:abstractNumId w:val="85224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645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