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BOSNYÁK INEZ</w:t>
            </w:r>
          </w:p>
          <w:p w:rsidR="00C275A3" w:rsidRDefault="00186641" w:rsidP="00C275A3">
            <w:pPr>
              <w:pStyle w:val="Hallgatokepzes"/>
            </w:pPr>
            <w:r w:rsidRPr="002361E2">
              <w:rPr>
                <w:i/>
              </w:rPr>
              <w:t>bosnyakinez99@gmail.com</w:t>
            </w:r>
            <w:r w:rsidRPr="002361E2">
              <w:rPr>
                <w:i/>
              </w:rPr>
              <w:br/>
            </w:r>
            <w:r w:rsidR="00A96AEC">
              <w:t>általános orvos</w:t>
            </w:r>
            <w:r w:rsidR="00A96AEC">
              <w:br/>
            </w:r>
            <w:r w:rsidR="00E77B23">
              <w:t>Osztatlan, 10. félév</w:t>
            </w:r>
          </w:p>
          <w:p w:rsidR="00C265CE" w:rsidRPr="009E5FF1" w:rsidRDefault="00E77B23" w:rsidP="009763E0">
            <w:pPr>
              <w:pStyle w:val="Hallgatointezmeny-kar"/>
              <w:rPr>
                <w:b/>
                <w:caps/>
              </w:rPr>
            </w:pPr>
            <w:r>
              <w:t>Pécsi Tudományegyetem</w:t>
            </w:r>
            <w:r w:rsidR="00C275A3">
              <w:br/>
            </w:r>
            <w:r w:rsidR="00DB4822">
              <w:t>Általános Orvostudományi Kar</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Témavezetők:</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Prof. Dr. Reglődi Dóra</w:t>
            </w:r>
          </w:p>
          <w:p w:rsidR="00DB4822" w:rsidRDefault="00DB4822" w:rsidP="009763E0">
            <w:pPr>
              <w:pStyle w:val="Konzulensektitulus"/>
            </w:pPr>
            <w:r w:rsidRPr="00DB4822">
              <w:t>egyetemi tanár, PTE ÁOK</w:t>
            </w:r>
          </w:p>
        </w:tc>
      </w:tr>
      <w:tr w:rsidR="00DB4822" w:rsidTr="00DB4822">
        <w:tc>
          <w:tcPr>
            <w:tcW w:w="9854" w:type="dxa"/>
          </w:tcPr>
          <w:p w:rsidR="00DB4822" w:rsidRPr="00DB4822" w:rsidRDefault="00DB4822" w:rsidP="009763E0">
            <w:pPr>
              <w:pStyle w:val="Konzulenseknev"/>
            </w:pPr>
            <w:r w:rsidRPr="00DB4822">
              <w:t>Dr. Váczy Alexandra</w:t>
            </w:r>
          </w:p>
          <w:p w:rsidR="00DB4822" w:rsidRDefault="00DB4822" w:rsidP="009763E0">
            <w:pPr>
              <w:pStyle w:val="Konzulensektitulus"/>
            </w:pPr>
            <w:r w:rsidRPr="00DB4822">
              <w:t>egyetemi adjunktus, PTE ÁOK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Optimális egérmodell kialakítása iszkémiás retinopátiában</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A retina oxigénhiányos állapota számos magas incidenciájú, látáskárosodást, akár vakságot okozó kórkép kialakulásának az alapja, melyek kezelése komoly kihívást jelent. Ezen betegségek tanulmányozására rendelkezésre álló állatmodellek nem igazán megfelelőek, ezért célunk egy optimális egérmodell kialakítása, amely segítségével később új terápiás célpontok határozhatóak meg.</w:t>
      </w:r>
    </w:p>
    <w:p>
      <w:pPr>
        <w:widowControl w:val="on"/>
        <w:pBdr/>
        <w:spacing w:before="240" w:after="240" w:line="240" w:lineRule="auto"/>
        <w:ind w:left="0" w:right="0"/>
        <w:jc w:val="left"/>
      </w:pPr>
      <w:r>
        <w:rPr>
          <w:color w:val="000000"/>
          <w:sz w:val="24"/>
          <w:szCs w:val="24"/>
        </w:rPr>
        <w:t xml:space="preserve">Különböző ideig tartó bilaterális artéria carotis communis elzárással (BCCAO) iszkémiás retinopátia egérmodellt hoztunk létre CD1-IGS törzsön. A 10 (n=9), 13 (n=4), 15 (n=4), 20 (n=8) percig tartó lekötést reperfúzió követte. Permanens unilaterális (UCCAO) (n=8) és bilaterális (n=1) okklúziót is alkalmaztunk. A retina különböző rétegeinek vastagságát a műtét előtt, illetve 2, 3 és 4 héttel később optikai koherencia tomográfiával határoztuk meg. A kapott értékeket az adott napon mért kontroll állatok (n=5) adataihoz hasonlítottuk. Teljes retina preparátumon Brn3a jelöléssel a ganglionsejtek számának változásáról kaptunk információt. Méréseinket statisztikai analízis követte, a szignifikancia szintet p&lt;0,05 határoztuk meg.</w:t>
      </w:r>
    </w:p>
    <w:p>
      <w:pPr>
        <w:widowControl w:val="on"/>
        <w:pBdr/>
        <w:spacing w:before="240" w:after="240" w:line="240" w:lineRule="auto"/>
        <w:ind w:left="0" w:right="0"/>
        <w:jc w:val="left"/>
      </w:pPr>
      <w:r>
        <w:rPr>
          <w:color w:val="000000"/>
          <w:sz w:val="24"/>
          <w:szCs w:val="24"/>
        </w:rPr>
        <w:t xml:space="preserve">A 20 percig tartó iszkémiás csoportban a retina belső rétegei a második hétre szignifikánsan csökkentek, míg ez a csökkenés a negyedik hét végére már nem volt megfigyelhető. A középső rétegekben a második hétre növekedést tapasztaltunk. Az egyes rétegek elemzését követően az idegrostok-, a belső magvas-, a külső plexiform-, a külső magvas-, a fotoreceptorok- és a pigmentsejtek rétegében tapasztaltunk szignifikáns változást. A ganglionsejtek száma a centrális régióban 14%-kal, míg a perifériás régióban 23%-kal csökkent. A végleges unilaterális lekötés eredményeképp az ipszilaterális retina vastagsága a második hétre a felére csökkent.</w:t>
      </w:r>
    </w:p>
    <w:p>
      <w:pPr>
        <w:widowControl w:val="on"/>
        <w:pBdr/>
        <w:spacing w:before="240" w:after="240" w:line="240" w:lineRule="auto"/>
        <w:ind w:left="0" w:right="0"/>
        <w:jc w:val="left"/>
      </w:pPr>
      <w:r>
        <w:rPr>
          <w:color w:val="000000"/>
          <w:sz w:val="24"/>
          <w:szCs w:val="24"/>
        </w:rPr>
        <w:t xml:space="preserve">Eredményeink alapján 20 percig tartó BCCAO alkalmas lehet az iszkémia-reperfúzió retinára kifejtett hatásának vizsgálatára, a legérzékenyebb sejttípusok megtalálására, a károsodások időbeli követésére. Az UCCAO pedig kiváló modell lehet protektív anyagok tesztelésére.</w:t>
      </w:r>
    </w:p>
    <w:p>
      <w:pPr>
        <w:widowControl w:val="on"/>
        <w:pBdr/>
        <w:spacing w:before="240" w:after="240" w:line="240" w:lineRule="auto"/>
        <w:ind w:left="0" w:right="0"/>
        <w:jc w:val="left"/>
      </w:pPr>
      <w:r>
        <w:rPr>
          <w:color w:val="000000"/>
          <w:sz w:val="24"/>
          <w:szCs w:val="24"/>
        </w:rPr>
        <w:t xml:space="preserve">A jelen előadás alapjául szolgáló kutatást a Nemzeti Orvosbiológiai Alapítvány Nemzeti Tudósképző Akadémia Programja támogatta a Kulturális és Innovációs Minisztérium pénzügyi hozzájárulásával.</w:t>
      </w:r>
    </w:p>
    <w:p>
      <w:pPr>
        <w:widowControl w:val="on"/>
        <w:pBdr/>
        <w:spacing w:before="240" w:after="240" w:line="240" w:lineRule="auto"/>
        <w:ind w:left="0" w:right="0"/>
        <w:jc w:val="left"/>
      </w:pPr>
    </w:p>
    <w:p>
      <w:pPr>
        <w:widowControl w:val="on"/>
        <w:pBdr/>
        <w:spacing w:before="240" w:after="240" w:line="240" w:lineRule="auto"/>
        <w:ind w:left="0" w:right="0"/>
        <w:jc w:val="left"/>
      </w:pP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4117204">
    <w:multiLevelType w:val="hybridMultilevel"/>
    <w:lvl w:ilvl="0" w:tplc="9457254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4117204">
    <w:abstractNumId w:val="6411720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6679775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