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GÁRDOS BÍBOR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gardosbibor@gmail.com</w:t>
            </w:r>
            <w:r w:rsidRPr="002361E2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Garami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Pákai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Anyatej oligoszacharidok protektív hatásának vizsgálata bakteriális endotoxinnal indukált lázban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újszülöttek halálozásának egyik leggyakoribb oka a szepszis, amelyet sokszor Gram-negatív patogének váltanak ki. Az anyatejben előforduló oligoszacharidok (humán tej oligoszacharidok: HMO) biológiailag aktív anyagok, amelyek protektív szerepet játszhatnak újszülöttekben. Kutatásunk célja a különböző HMO-k antipiretikus hatásának vizsgálata bakteriális lipopoliszachariddal (LPS) indukált lázválaszban in vivo egérmodellben.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Vizsgálatainkhoz C57BL/6 típusú hím egereket használtunk. Az egerekbe kéthetes prekondícionálását követően intraperitoneális kanült implantáltunk. A láz kiváltását megelőzően fiziológiás sóoldatban oldott különböző HMO-kat (2’FL, 3’FL, 3’SL, 6’SL, LNT, LNnT) adtunk ekvimoláris dózisban (0.02mmol/kg) intraperitoneálisan. Két órával később kisdózisú (120 μg/kg) LPS (E.coli O111) intraperitoneális adásával lázat indukáltunk. A kontroll csoportok fiziológiás sóoldatot kaptak. Az állatok maghőmérsékletét termoneutrális környezeti hőmérsékleten termoelemekkel detektáltuk.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Fiziológiás sóoldattal előkezelt állatokban LPS adására az elvárásoknak megfelelően nagyfokú hőmérséklet emelkedést tapasztaltunk, amely csúcspontja (38,7±0,6°C) 120 perccel anyagadás után alakult ki (p&lt;0,05). A 2’FL és LNT HMO-val előkezelt állatok esetében azonban a láz mértéke szignifikánsan (p&lt;0,05) elmaradt a kontroll előkezeléshez képest, maximális értéke sorrendben 37,5±0,4 és 37,6±0,3°C volt. A lázválasz csökkenése a többi vizsgált HMO (3’FL, 6’SL, 3’SL, LNnT) esetében nem volt kimutatható (p&gt;0,05).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alapján a vizsgált HMO-k önmagukban nem voltak hatással a testhőmérsékletre, közülük kettő (2’FL, LNT) azonban az LPS által indukált lázválaszt szignifikánsan csökkentette, míg a többinél antipiretikus hatást nem tapasztaltunk.</w:t>
      </w:r>
      <w:r>
        <w:rPr>
          <w:color w:val="000000"/>
          <w:sz w:val="24"/>
          <w:szCs w:val="24"/>
        </w:rPr>
        <w:br/>
        <w:t xml:space="preserve">Eredményeink is megerősítik, hogy az anyatejes táplálás kiemelt jelentőségűnek számít a bakteriális fertőzésekkel szemben, amely protektív hatásban döntő szerepe van a HMO-knak.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46004">
    <w:multiLevelType w:val="hybridMultilevel"/>
    <w:lvl w:ilvl="0" w:tplc="97018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46004">
    <w:abstractNumId w:val="51346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393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