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SOMOGYI FANNI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vereslfanni@gmail.com</w:t>
            </w:r>
            <w:r w:rsidRPr="001067CD">
              <w:rPr>
                <w:i/>
              </w:rPr>
              <w:br/>
            </w:r>
            <w:r w:rsidR="00A96AEC">
              <w:t>Orvosi Biotechnológus</w:t>
            </w:r>
            <w:r w:rsidR="00A96AEC">
              <w:br/>
            </w:r>
            <w:r w:rsidR="00E77B23">
              <w:t>MSc,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Pázmány Péter Katolikus Egyetem</w:t>
            </w:r>
            <w:r w:rsidR="00C275A3">
              <w:br/>
            </w:r>
            <w:r w:rsidR="00DB4822">
              <w:t>Információs Technológiai és Bionikai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Hillier Dániel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PPKE ITK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Long-term, stable, functional and non-invasive labeling across the brain of a preclinical animal model 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Neurobiológia, génterápia, preklinikai állatmodell, AAV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Brain disorders remain difficult targets for pharmacological compounds that rarely can provide a therapeutic effect without considerable off-target effects. To provide a more specific therapeutic effect, adeno-associated viral (AAV) vectors are increasingly used to target an exogene to the central nervous system. In mice, the most widely adopted model species, AAV-based gene delivery is used extensively. In stark contrast, in large-animal preclinical models, we still largely lack efficient and long-term safe AAV-based gene delivery methods. Synthetic capsid variants derived from the wild-type AAV9 have been shown to cross the blood-brain barrier and achieve widespread and homogeneous labeling of the brain upon minimally-invasive administration in mice. In my work, I ask whether new synthetic AAV variants can achieve efficiency and safety of delivery in large-animal preclinical species that are similar to that observed in mice. I define it as “successful and functional delivery” in the context of optogenetic activation of the visual cortex. I leveraged recent breakthroughs in optogenetic protein optimization and demonstrated that a minimally-invasive gene delivery combined with minimally-invasive optogenetic brain stimulation is ready to serve as the core technology foundation for a completely new mode of brain stimulation. I target the therapeutic optogenetic protein to specific cell types in the brain of a large-animal preclinical species at unprecedented efficiency. The development of safe and efficient gene delivery combined with high-density optogenetic stimulation may open a new era of brain therapy.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2913046">
    <w:multiLevelType w:val="hybridMultilevel"/>
    <w:lvl w:ilvl="0" w:tplc="4490978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2913046">
    <w:abstractNumId w:val="6291304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3376762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