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olah.anett95@gmail.com</w:t>
            </w:r>
            <w:r w:rsidRPr="001067CD">
              <w:rPr>
                <w:i/>
              </w:rPr>
              <w:br/>
            </w:r>
            <w:r w:rsidR="00A96AEC">
              <w:t>Növényorvos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Koósné Dr. Szathmáry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Salamon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önkéntes kutató,  Genetika és 
Biotechnológiai Intézet, Alkalmazott Növénygenomikai Csoport, Szent István Campus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Genetika és Biotechnológiai Intézet, Alkalmazott Növénygenomikai Csoport, Szent István Campus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Tobamovírus fertőzés különleges esete paprikán (Capsicum annuum L.)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Paprika; tobamovirus; PMMoV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Hibrid előállító gazdaságból vírusos fertőzésre utaló tüneteket mutató 2 beteg paprika növényt (Ap1 és Ap2) kaptunk. Jellemző volt, hogy a növények levelei tünetmentesek voltak, azonban a bogyók többségén elhalások jelentkeztek. A beteg bogyók kocsányán a keresztezésekre utaló festék jelzést találtunk. Az Ap2 tövön az első kötésből származó 1 tünetmentes bogyó fordult elő, melyen nem találtunk jelzést.</w:t>
      </w:r>
      <w:r>
        <w:rPr>
          <w:color w:val="000000"/>
          <w:sz w:val="24"/>
          <w:szCs w:val="24"/>
        </w:rPr>
        <w:br/>
        <w:t xml:space="preserve">A beteg bogyók szövetnedvével különböző tesztnövényekre végzett mechanikai átviteli kísérletek olyan vírus jelenlétét igazolták, amely a tobamovirusokra jellemző tüneteket okozott. Az Óbuda paprika vírus XM izolátumával végzett keresztvédettségi tesztek is megerősítették, hogy az Ap2 izolátum a tobamovirusokhoz tartozik. A tünetmentes levelekből és tünetmentes bogyóból tesztnövényeken mechanikailag átvihető vírust nem tudtunk kimutatni. A beteg bogyók kocsányához közeli szárból egy esetben kaptunk pozitív, másik esetben negatív eredményt.</w:t>
      </w:r>
      <w:r>
        <w:rPr>
          <w:color w:val="000000"/>
          <w:sz w:val="24"/>
          <w:szCs w:val="24"/>
        </w:rPr>
        <w:br/>
        <w:t xml:space="preserve">Az Ap1 és Ap2 vírusizolátumok gazdanövényköre és a különböző gazdanövényeken előidézett tünetei azonosak voltak és megegyeztek a paprika enyhe foltosság vírusra (PMMoV) jellemző tünetekkel. A gazdaköri vizsgálatok mutatták ki, hogy az Ap1 és Ap2 izolátumokkal szemben a Ch. murale növényfaj ellenállóságot mutat, szemben a lokálisan fogékony Ch. quinoa és Ch. amaranticolor fajokkal. Az Ap1 és Ap2 izolátumok szisztemikusan fertőzték az L3 rezisztencia allélt hordozó Capsicum chinense PI 159236 növényeket és ennek alapján a P1.2.3 paprika patotípusokhoz tartoznak.</w:t>
      </w:r>
      <w:r>
        <w:rPr>
          <w:color w:val="000000"/>
          <w:sz w:val="24"/>
          <w:szCs w:val="24"/>
        </w:rPr>
        <w:br/>
        <w:t xml:space="preserve">A tobamovirusok köpenyfehérje génjére tervezett Unitobamo primerek alkalmazásával végzett RT-PCR vizsgálatokkal az Ap1 és Ap2 izolátumok esetében a tobamovirusokra jellemző méretű amplifikált DNS terméket kaptunk. Ezen termékeket szekvenáltuk és a szekvencia adatokat nukleotid és aminosav szinten is összehasonlítottuk a NCBI GenBankban található szekvenciákkal. Mindkét izolátumunk a PMMoV izolátumokkal mutatott 99 %-os homológiát. A patológiai és a molekuláris vizsgálatok eredményei alapján az Ap1 és Ap2 izolátumokat a PMMoV izolátumaiként azonosítottuk.</w:t>
      </w:r>
      <w:r>
        <w:rPr>
          <w:color w:val="000000"/>
          <w:sz w:val="24"/>
          <w:szCs w:val="24"/>
        </w:rPr>
        <w:br/>
        <w:t xml:space="preserve">Megállapítottuk, hogy az Ap2 izolátummal fertőzött beteg bogyók nem kezelt magjait elvetve a palánták 12.5 %-a betegedett meg, melyekből RT-PCR módszerrel tobamovirust mutattunk ki. Nem találtunk magátvitelt a NaOH oldattal és EciwianHIGÉN 99+ készítménnyel kezelt magokrók kelt palántákon.</w:t>
      </w:r>
      <w:r>
        <w:rPr>
          <w:color w:val="000000"/>
          <w:sz w:val="24"/>
          <w:szCs w:val="24"/>
        </w:rPr>
        <w:br/>
        <w:t xml:space="preserve">Eredményeink megerősítették, hogy a PMMoV L3 rezisztencia gént áttörő törzse továbbra is nagy jelentőségű a paprika termesztésben.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51552">
    <w:multiLevelType w:val="hybridMultilevel"/>
    <w:lvl w:ilvl="0" w:tplc="65172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51552">
    <w:abstractNumId w:val="337515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887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