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PETER KANYARI</w:t>
            </w:r>
          </w:p>
          <w:p w:rsidR="00C275A3" w:rsidRDefault="00CA6B74" w:rsidP="00C275A3">
            <w:pPr>
              <w:pStyle w:val="Hallgatokepzes"/>
            </w:pPr>
            <w:r w:rsidRPr="001067CD">
              <w:rPr>
                <w:i/>
              </w:rPr>
              <w:t>bkanyari@gmail.com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Marcell Granat</w:t>
            </w:r>
          </w:p>
          <w:p w:rsidR="00DB4822" w:rsidRDefault="00DB4822" w:rsidP="00BA6BAF">
            <w:pPr>
              <w:pStyle w:val="Konzulensektitulus"/>
            </w:pPr>
            <w:r w:rsidRPr="00DB4822">
              <w:t>assistant lecturer,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Environmental Awareness and Green Investments Under Abnormal Weather Conditions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ESG; environmental issues; investor attention; structural topic modeling; abnormal weather</w:t>
      </w:r>
      <w:r>
        <w:t xml:space="preserve"/>
      </w:r>
    </w:p>
    <w:p>
      <w:pPr>
        <w:widowControl w:val="on"/>
        <w:pBdr/>
        <w:spacing w:before="240" w:after="240" w:line="240" w:lineRule="auto"/>
        <w:ind w:left="0" w:right="0"/>
        <w:jc w:val="left"/>
      </w:pPr>
      <w:r>
        <w:rPr>
          <w:color w:val="000000"/>
          <w:sz w:val="24"/>
          <w:szCs w:val="24"/>
        </w:rPr>
        <w:t xml:space="preserve">In my study, I analyzed the impact of attention to environmental issues and unusual weather conditions on the return differential between portfolios composed of "green" and "brown" stocks. My research covered the period from January 1, 2010, to December 31, 2022, focusing on the stocks of companies included in the S&amp;P 500 index. To investigate attention to environmental issues, I utilized the volume of Google searches related to the environment and applied Latent Dirichlet Allocation (LDA) topic modeling to articles published on the Wall Street Journal news portal. Abnormal weather conditions were determined by analyzing deviations in daily maximum temperatures and daily precipitation levels from their normal values across the United States, considering the population of specific regions. For constructing green and brown portfolios, I used industry environmental pillar scores. Subsequently, I employed vector autoregressive models to analyze how attention to environmental topics affects the return differential between green and brown portfolios. Additionally, I examined the impact of including variables related to abnormal weather conditions as exogenous variables in the model. Furthermore, I generated forecasts using these models to assess whether incorporating weather variables could improve the prediction of the return differential between green and brown portfolios. The results indicate that an increase in the proportion of environmental articles in the news raises the return differential between green and brown portfolios and, in certain periods, also Granger-causes it. Conversely, an increase in the volume of Google searches for environmentally related terms reduces the return differential. The findings also suggest that incorporating variables that describe abnormal weather conditions into the model does not significantly alter the results, and there are no notable differences in the forecasts of the models when such variables are included.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26217">
    <w:multiLevelType w:val="hybridMultilevel"/>
    <w:lvl w:ilvl="0" w:tplc="7191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26217">
    <w:abstractNumId w:val="94326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721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