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SIKET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siket.bence1995@gmail.com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Granát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Komolyan gondolják a cégek az ESG szempontokat? Strukturális Témamodellezés (STM)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CSR, Fenntarthatóság, Zöld, Pénzügy, Refinitiv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cikkben az S&amp;P500-as cégek ESG-vel kapcsolatos megfontolásait tesztelem az éves adatok CSR adatok felhasználásával. Az ESG-vel kapcsolatos információk nagy része verbális eredetű</w:t>
      </w:r>
      <w:r>
        <w:rPr>
          <w:color w:val="000000"/>
          <w:sz w:val="24"/>
          <w:szCs w:val="24"/>
        </w:rPr>
        <w:br/>
        <w:t xml:space="preserve">kommunikáció, ezért elengedhetetlen a szöveges dokumentumok megértése, hogy a legtöbbet hozhassuk ki</w:t>
      </w:r>
      <w:r>
        <w:rPr>
          <w:color w:val="000000"/>
          <w:sz w:val="24"/>
          <w:szCs w:val="24"/>
        </w:rPr>
        <w:br/>
        <w:t xml:space="preserve">pontos kép a cégek ESG-vel kapcsolatos attitűdjeiről. </w:t>
      </w:r>
      <w:r>
        <w:rPr>
          <w:color w:val="000000"/>
          <w:sz w:val="24"/>
          <w:szCs w:val="24"/>
        </w:rPr>
        <w:br/>
        <w:t xml:space="preserve">Az S&amp;P500-as cégek éves CSR-információiból kinyert témák jelentősen megjósolhatják a</w:t>
      </w:r>
      <w:r>
        <w:rPr>
          <w:color w:val="000000"/>
          <w:sz w:val="24"/>
          <w:szCs w:val="24"/>
        </w:rPr>
        <w:br/>
        <w:t xml:space="preserve">a jövőbeni ESG-pontszámok romlását vagy javulását. Az ESG-hez kapcsolódó pontszámok lekérésével</w:t>
      </w:r>
      <w:r>
        <w:rPr>
          <w:color w:val="000000"/>
          <w:sz w:val="24"/>
          <w:szCs w:val="24"/>
        </w:rPr>
        <w:br/>
        <w:t xml:space="preserve">2014-től 2022-ig tartó Refinitiv három prediktortípust definiálok a strukturális témamodellhez.</w:t>
      </w:r>
      <w:r>
        <w:rPr>
          <w:color w:val="000000"/>
          <w:sz w:val="24"/>
          <w:szCs w:val="24"/>
        </w:rPr>
        <w:br/>
        <w:t xml:space="preserve">Az empirikus eredmények alapján úgy látom, hogy a minőségi szempontok jelentős szerepet játszanak a</w:t>
      </w:r>
      <w:r>
        <w:rPr>
          <w:color w:val="000000"/>
          <w:sz w:val="24"/>
          <w:szCs w:val="24"/>
        </w:rPr>
        <w:br/>
        <w:t xml:space="preserve">az ESG pontszámok alakulása. Az eredmények is alátámasztják azt az érvet, hogy a külső minősítés</w:t>
      </w:r>
      <w:r>
        <w:rPr>
          <w:color w:val="000000"/>
          <w:sz w:val="24"/>
          <w:szCs w:val="24"/>
        </w:rPr>
        <w:br/>
        <w:t xml:space="preserve">az ügynökségek jelentős figyelmet fordítanak a közzétételek aktuális tartalmára is; ezért a a CSR-nyilatkozatok aktuális tartalma hatással van az ESG-pontszámokra. A kutatás is kiemeli, hogy az ESG keretein belül vannak egyértelműen azonosítható témák, amelyek nagyon fontosak</w:t>
      </w:r>
      <w:r>
        <w:rPr>
          <w:color w:val="000000"/>
          <w:sz w:val="24"/>
          <w:szCs w:val="24"/>
        </w:rPr>
        <w:br/>
        <w:t xml:space="preserve">kulcsfontosságú szerepet tölt be mind a cégek, mind a külső minősítő intézetek számára. Az élelmiszer-pazarlással kapcsolatos témák, az ellátási lánc, a hulladékgazdálkodás és az üvegházhatású gázok kibocsátása jelentősen hozzájárul</w:t>
      </w:r>
      <w:r>
        <w:rPr>
          <w:color w:val="000000"/>
          <w:sz w:val="24"/>
          <w:szCs w:val="24"/>
        </w:rPr>
        <w:br/>
        <w:t xml:space="preserve">az ESG és alkategóriái pontszámainak alakulása.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17149">
    <w:multiLevelType w:val="hybridMultilevel"/>
    <w:lvl w:ilvl="0" w:tplc="28192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17149">
    <w:abstractNumId w:val="73917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689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