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SIKET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siket.bence1995@gmail.com</w:t>
            </w:r>
            <w:r w:rsidRPr="001067CD">
              <w:rPr>
                <w:i/>
              </w:rPr>
              <w:br/>
            </w:r>
            <w:r w:rsidR="00A96AEC">
              <w:t>International Economy and Business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John von Neumann University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Marcell Granát</w:t>
            </w:r>
          </w:p>
          <w:p w:rsidR="00DB4822" w:rsidRDefault="00DB4822" w:rsidP="00BA6BAF">
            <w:pPr>
              <w:pStyle w:val="Konzulensektitulus"/>
            </w:pPr>
            <w:r w:rsidRPr="00DB4822">
              <w:t>university assistant professor,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 Firms Take Seriously Esg Considerations? Application of the Structural Topic Modeling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ESG, CSR, Sustainability, Green, STM, Refinitiv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paper, I test the ESG-related considerations of the S&amp;P500 firms using their annual</w:t>
      </w:r>
      <w:r>
        <w:rPr>
          <w:color w:val="000000"/>
          <w:sz w:val="24"/>
          <w:szCs w:val="24"/>
        </w:rPr>
        <w:br/>
        <w:t xml:space="preserve">CSR disclosures. A large part of the ESG related information comes from verbal</w:t>
      </w:r>
      <w:r>
        <w:rPr>
          <w:color w:val="000000"/>
          <w:sz w:val="24"/>
          <w:szCs w:val="24"/>
        </w:rPr>
        <w:br/>
        <w:t xml:space="preserve">communication, and thus it is vital to understand textual documents in order to get the most</w:t>
      </w:r>
      <w:r>
        <w:rPr>
          <w:color w:val="000000"/>
          <w:sz w:val="24"/>
          <w:szCs w:val="24"/>
        </w:rPr>
        <w:br/>
        <w:t xml:space="preserve">accurate picture of firms’ ESG-related attitudes. I estimate whether the emphasis of certain</w:t>
      </w:r>
      <w:r>
        <w:rPr>
          <w:color w:val="000000"/>
          <w:sz w:val="24"/>
          <w:szCs w:val="24"/>
        </w:rPr>
        <w:br/>
        <w:t xml:space="preserve">topics extracted from the S&amp;P500 firms’ yearly CSR disclosures can significantly predict the</w:t>
      </w:r>
      <w:r>
        <w:rPr>
          <w:color w:val="000000"/>
          <w:sz w:val="24"/>
          <w:szCs w:val="24"/>
        </w:rPr>
        <w:br/>
        <w:t xml:space="preserve">deterioration or improvement of future ESG scores. By retrieving the ESG-related scores of</w:t>
      </w:r>
      <w:r>
        <w:rPr>
          <w:color w:val="000000"/>
          <w:sz w:val="24"/>
          <w:szCs w:val="24"/>
        </w:rPr>
        <w:br/>
        <w:t xml:space="preserve">Refinitiv from 2014 to 2022, I define three types of predictors to the Structural Topic Model.</w:t>
      </w:r>
      <w:r>
        <w:rPr>
          <w:color w:val="000000"/>
          <w:sz w:val="24"/>
          <w:szCs w:val="24"/>
        </w:rPr>
        <w:br/>
        <w:t xml:space="preserve">Based on the empirical results, I find that qualitative aspects play a significant role in the</w:t>
      </w:r>
      <w:r>
        <w:rPr>
          <w:color w:val="000000"/>
          <w:sz w:val="24"/>
          <w:szCs w:val="24"/>
        </w:rPr>
        <w:br/>
        <w:t xml:space="preserve">development of ESG scores. The results also support the argument that external rating</w:t>
      </w:r>
      <w:r>
        <w:rPr>
          <w:color w:val="000000"/>
          <w:sz w:val="24"/>
          <w:szCs w:val="24"/>
        </w:rPr>
        <w:br/>
        <w:t xml:space="preserve">agencies also pay significant attention to the topical content of disclosures; therefore the</w:t>
      </w:r>
      <w:r>
        <w:rPr>
          <w:color w:val="000000"/>
          <w:sz w:val="24"/>
          <w:szCs w:val="24"/>
        </w:rPr>
        <w:br/>
        <w:t xml:space="preserve">topical content of CSR disclosures has an impact on the ESG scores. The research also</w:t>
      </w:r>
      <w:r>
        <w:rPr>
          <w:color w:val="000000"/>
          <w:sz w:val="24"/>
          <w:szCs w:val="24"/>
        </w:rPr>
        <w:br/>
        <w:t xml:space="preserve">highlights that within the ESG framework there are clearly identifiable topics that play a very</w:t>
      </w:r>
      <w:r>
        <w:rPr>
          <w:color w:val="000000"/>
          <w:sz w:val="24"/>
          <w:szCs w:val="24"/>
        </w:rPr>
        <w:br/>
        <w:t xml:space="preserve">crucial role for both firms and external rating agencies. The topics related to food waste,</w:t>
      </w:r>
      <w:r>
        <w:rPr>
          <w:color w:val="000000"/>
          <w:sz w:val="24"/>
          <w:szCs w:val="24"/>
        </w:rPr>
        <w:br/>
        <w:t xml:space="preserve">supply chain, waste management and greenhouse gas emissions significantly contribute for</w:t>
      </w:r>
      <w:r>
        <w:rPr>
          <w:color w:val="000000"/>
          <w:sz w:val="24"/>
          <w:szCs w:val="24"/>
        </w:rPr>
        <w:br/>
        <w:t xml:space="preserve">the development of the ESG and its subcategories scores.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04269">
    <w:multiLevelType w:val="hybridMultilevel"/>
    <w:lvl w:ilvl="0" w:tplc="72211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04269">
    <w:abstractNumId w:val="171042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714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