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HOLLÓSI</w:t>
            </w:r>
          </w:p>
          <w:p w:rsidR="00C275A3" w:rsidRDefault="00CA6B74" w:rsidP="00C275A3">
            <w:pPr>
              <w:pStyle w:val="Hallgatokepzes"/>
            </w:pPr>
            <w:r w:rsidRPr="001067CD">
              <w:rPr>
                <w:i/>
              </w:rPr>
              <w:t>hollir@gmail.com</w:t>
            </w:r>
            <w:r w:rsidRPr="001067CD">
              <w:rPr>
                <w:i/>
              </w:rPr>
              <w:br/>
            </w:r>
            <w:r w:rsidR="00A96AEC">
              <w:t>international economy and business</w:t>
            </w:r>
            <w:r w:rsidR="00A96AEC">
              <w:br/>
            </w:r>
            <w:r w:rsidR="00E77B23">
              <w:t>MSc, 4.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Eszter Baranyai</w:t>
            </w:r>
          </w:p>
          <w:p w:rsidR="00DB4822" w:rsidRDefault="00DB4822" w:rsidP="00BA6BAF">
            <w:pPr>
              <w:pStyle w:val="Konzulensektitulus"/>
            </w:pPr>
            <w:r w:rsidRPr="00DB4822">
              <w:t>Senior Expert,  Hungarian National Bank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Digital Youth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ydsi; digital skills; youth; screen time; digital index</w:t>
      </w:r>
      <w:r>
        <w:t xml:space="preserve"/>
      </w:r>
    </w:p>
    <w:p>
      <w:pPr>
        <w:widowControl w:val="on"/>
        <w:pBdr/>
        <w:spacing w:before="240" w:after="240" w:line="240" w:lineRule="auto"/>
        <w:ind w:left="0" w:right="0"/>
        <w:jc w:val="left"/>
      </w:pPr>
      <w:r>
        <w:rPr>
          <w:color w:val="000000"/>
          <w:sz w:val="24"/>
          <w:szCs w:val="24"/>
        </w:rPr>
        <w:t xml:space="preserve">The following study present the results of a survey-based research that used the Youth Digital Skills Indicator (yDSI), a detailed measurement tool, first time in Hungary, to assess the digital skills of high school students. The main finding of the study is that the high level of online presence (ie. „continuous presence”) does not entail the higher level of digital skills.</w:t>
      </w:r>
      <w:r>
        <w:rPr>
          <w:color w:val="000000"/>
          <w:sz w:val="24"/>
          <w:szCs w:val="24"/>
        </w:rPr>
        <w:br/>
        <w:t xml:space="preserve">Additionally, it confirms that their skills are stronger focused on entertainment and communication rather than those related to learning and later employment. The paper also draws important conclusions for the international literature regarding the limitations of the practical applicability of yDSI.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45283">
    <w:multiLevelType w:val="hybridMultilevel"/>
    <w:lvl w:ilvl="0" w:tplc="191869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45283">
    <w:abstractNumId w:val="893452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82234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