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JÁNOS SZENTISTVÁNYI</w:t>
            </w:r>
          </w:p>
          <w:p w:rsidR="00C275A3" w:rsidRDefault="00CA6B74" w:rsidP="00C275A3">
            <w:pPr>
              <w:pStyle w:val="Hallgatokepzes"/>
            </w:pPr>
            <w:r w:rsidRPr="001067CD">
              <w:rPr>
                <w:i/>
              </w:rPr>
              <w:t>jszentistvanyi@gmail.com</w:t>
            </w:r>
            <w:r w:rsidRPr="001067CD">
              <w:rPr>
                <w:i/>
              </w:rPr>
              <w:br/>
            </w:r>
            <w:r w:rsidR="00A96AEC">
              <w:t>International Economy and Business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Olivér Nagy</w:t>
            </w:r>
          </w:p>
          <w:p w:rsidR="00DB4822" w:rsidRDefault="00DB4822" w:rsidP="00BA6BAF">
            <w:pPr>
              <w:pStyle w:val="Konzulensektitulus"/>
            </w:pPr>
            <w:r w:rsidRPr="00DB4822">
              <w:t>assistant lecturer,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Russia-Ukraine War on the Food Industry: A Network Approach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event study; Russia-Ukraine war; food industry; network</w:t>
      </w:r>
      <w:r>
        <w:t xml:space="preserve"/>
      </w:r>
    </w:p>
    <w:p>
      <w:pPr>
        <w:widowControl w:val="on"/>
        <w:pBdr/>
        <w:spacing w:before="240" w:after="240" w:line="240" w:lineRule="auto"/>
        <w:ind w:left="0" w:right="0"/>
        <w:jc w:val="left"/>
      </w:pPr>
      <w:r>
        <w:rPr>
          <w:color w:val="000000"/>
          <w:sz w:val="24"/>
          <w:szCs w:val="24"/>
        </w:rPr>
        <w:t xml:space="preserve">This paper applies the event study methodology on a global set of firms in the food industry, focusing on the outbreak of the Russia-Ukraine war. Abnormal returns are estimated from daily stock data of the firms using a market model and are analyzed both in their aggregated forms and in firm-level regressions. The two hypotheses of the study are 1) that a large set of companies experienced significant negative abnormal returns around the event and 2) that the spillover effects from Russia and Ukraine towards other firms caused higher negative abnormal returns. The spillover impact variables are estimated with a network structure by a pairwise Granger-causality method. Results support both hypotheses: significant negative aggregated abnormal returns could be observed both by Sectors and Regions; also, the spillover effect variable is significant with a negative coefficient even after controlling for financial variables that are commonly used factors.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86235">
    <w:multiLevelType w:val="hybridMultilevel"/>
    <w:lvl w:ilvl="0" w:tplc="76481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86235">
    <w:abstractNumId w:val="693862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4230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