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KÁLMÁN ÁRPÁD MARINCSÁK</w:t>
            </w:r>
          </w:p>
          <w:p w:rsidR="00C275A3" w:rsidRDefault="00CA6B74" w:rsidP="00C275A3">
            <w:pPr>
              <w:pStyle w:val="Hallgatokepzes"/>
            </w:pPr>
            <w:r w:rsidRPr="001067CD">
              <w:rPr>
                <w:i/>
              </w:rPr>
              <w:t>kalman.marincsak@gmail.com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Balázs Vonnák</w:t>
            </w:r>
          </w:p>
          <w:p w:rsidR="00DB4822" w:rsidRDefault="00DB4822" w:rsidP="00BA6BAF">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HETEROGENEITY OF MONETARY TRANSMISSION IN THE EUROZONE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Monetary policy; Eurozone; ECB; optimal currency areas; heterogeneity</w:t>
      </w:r>
      <w:r>
        <w:t xml:space="preserve"/>
      </w:r>
    </w:p>
    <w:p>
      <w:pPr>
        <w:widowControl w:val="on"/>
        <w:pBdr/>
        <w:spacing w:before="240" w:after="240" w:line="240" w:lineRule="auto"/>
        <w:ind w:left="0" w:right="0"/>
        <w:jc w:val="left"/>
      </w:pPr>
      <w:r>
        <w:rPr>
          <w:color w:val="000000"/>
          <w:sz w:val="24"/>
          <w:szCs w:val="24"/>
        </w:rPr>
        <w:t xml:space="preserve">In my thesis, I examine the impact of the European Central Bank (ECB) monetary policy on the economic activity (GDP) and inflation rate of individual eurozone member states. If the effects of the ECB's actions in the eurozone are heterogeneous, the single monetary policy is not efficient for the members of the currency zone. To examine the heterogeneity, I estimated impulse response functions for each country using ECB yield curve shocks identified on high-frequency data and interest rate instruments relevant to the given shock. I differentiated the monetary policy steps depending on whether they were implemented at the short, middle, or long end of the yield curve, thus estimating impulse responses separately in all three cases. I used local projection models for the estimation. The similarity and correlation of the estimated impulse response functions can be used to conclude that the impact of monetary policy steps is homogeneous. Based on the results, although the impulse response functions are generally correlated, the values ​​are not nearly as high, especially for shocks occurring at longer maturities of the yield curve. In addition, for almost all shocks, countries considered heterogeneous can be observed, in which the direction and/or dynamics of the impact of the monetary policy shock differ. The results are consistent with the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14515">
    <w:multiLevelType w:val="hybridMultilevel"/>
    <w:lvl w:ilvl="0" w:tplc="24101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14515">
    <w:abstractNumId w:val="763145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779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