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ISTVÁN PÓKÁSZ</w:t>
            </w:r>
          </w:p>
          <w:p w:rsidR="00C275A3" w:rsidRDefault="00CA6B74" w:rsidP="00C275A3">
            <w:pPr>
              <w:pStyle w:val="Hallgatokepzes"/>
            </w:pPr>
            <w:r w:rsidRPr="001067CD">
              <w:rPr>
                <w:i/>
              </w:rPr>
              <w:t>zolip99@gmail.com</w:t>
            </w:r>
            <w:r w:rsidRPr="001067CD">
              <w:rPr>
                <w:i/>
              </w:rPr>
              <w:br/>
            </w:r>
            <w:r w:rsidR="00A96AEC">
              <w:t>International Business and Economics</w:t>
            </w:r>
            <w:r w:rsidR="00A96AEC">
              <w:br/>
            </w:r>
            <w:r w:rsidR="00E77B23">
              <w:t>MSc, 4.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BBalázs Vonnák</w:t>
            </w:r>
          </w:p>
          <w:p w:rsidR="00DB4822" w:rsidRDefault="00DB4822" w:rsidP="00BA6BAF">
            <w:pPr>
              <w:pStyle w:val="Konzulensektitulus"/>
            </w:pPr>
            <w:r w:rsidRPr="00DB4822">
              <w:t>associate professor,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Measuring the Hungarian Monetary Transmission With Iv-Svar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econometrics; statistics; monetary policy; finance</w:t>
      </w:r>
      <w:r>
        <w:t xml:space="preserve"/>
      </w:r>
    </w:p>
    <w:p>
      <w:pPr>
        <w:widowControl w:val="on"/>
        <w:pBdr/>
        <w:spacing w:before="240" w:after="240" w:line="240" w:lineRule="auto"/>
        <w:ind w:left="0" w:right="0"/>
        <w:jc w:val="left"/>
      </w:pPr>
      <w:r>
        <w:rPr>
          <w:color w:val="000000"/>
          <w:sz w:val="24"/>
          <w:szCs w:val="24"/>
        </w:rPr>
        <w:t xml:space="preserve">In the following study, my aim is to estimate the monetary transmission mechanism on monthly Hungarian data between 2002 and 2016 using the instrumental variable IV-SVAR methodology, which has not been used on Hungarian data before. The essence of the methodology is to form a high-frequency instrument from unexpected monetary policy shocks that occur during interest rate decisions. According to my results, the variables react to the unexpected monetary policy shock largely in accordance with our expectations and previous studies: a standard deviation of unexpected monetary policy tightening leads to a significant and persistent (roughly two years long) decrease in industrial production, a (not significant) decrease in inflation, and a strengthening in the nominal effective exchange rate after a slight weakening. All these results broadly agree with the conclusions of the literature.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184661">
    <w:multiLevelType w:val="hybridMultilevel"/>
    <w:lvl w:ilvl="0" w:tplc="518845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184661">
    <w:abstractNumId w:val="751846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2401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