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DALMA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dalmus111@gmail.com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oktatási és kutatási szakértő,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Energiahatékonyság Mindenek Felett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ingatlanpiac; energiaválság; fenntarthatóság; energiatanúsítvány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energiatanúsítványok és az orosz-ukrán háború által begyűrűzött</w:t>
      </w:r>
      <w:r>
        <w:rPr>
          <w:color w:val="000000"/>
          <w:sz w:val="24"/>
          <w:szCs w:val="24"/>
        </w:rPr>
        <w:br/>
        <w:t xml:space="preserve">energiaválság hatása az ingatlanárakra. A dolgozat kutatási kérdése, hogy befolyásolja-e a</w:t>
      </w:r>
      <w:r>
        <w:rPr>
          <w:color w:val="000000"/>
          <w:sz w:val="24"/>
          <w:szCs w:val="24"/>
        </w:rPr>
        <w:br/>
        <w:t xml:space="preserve">magyarországi ingatlanárak értékét az ingatlanok energiatanúsítványa, valamint, hogy van-e</w:t>
      </w:r>
      <w:r>
        <w:rPr>
          <w:color w:val="000000"/>
          <w:sz w:val="24"/>
          <w:szCs w:val="24"/>
        </w:rPr>
        <w:br/>
        <w:t xml:space="preserve">erre hatása a 2022-es energiaválságnak. A dolgozat az eddigi szakirodalmi eredményeket alapul</w:t>
      </w:r>
      <w:r>
        <w:rPr>
          <w:color w:val="000000"/>
          <w:sz w:val="24"/>
          <w:szCs w:val="24"/>
        </w:rPr>
        <w:br/>
        <w:t xml:space="preserve">véve két hipotézist fogalmaz meg: (H1) az energiatanúsítványoknak szignifikáns pozitív hatása</w:t>
      </w:r>
      <w:r>
        <w:rPr>
          <w:color w:val="000000"/>
          <w:sz w:val="24"/>
          <w:szCs w:val="24"/>
        </w:rPr>
        <w:br/>
        <w:t xml:space="preserve">van az ingatlanárakra, valamint, hogy (H2) az energiaválságnak jelentős kereszthatása van az</w:t>
      </w:r>
      <w:r>
        <w:rPr>
          <w:color w:val="000000"/>
          <w:sz w:val="24"/>
          <w:szCs w:val="24"/>
        </w:rPr>
        <w:br/>
        <w:t xml:space="preserve">energiatanúsítványra. A kutatáshoz egy magyarországi kereskedelmi bank jelzáloghiteleinek</w:t>
      </w:r>
      <w:r>
        <w:rPr>
          <w:color w:val="000000"/>
          <w:sz w:val="24"/>
          <w:szCs w:val="24"/>
        </w:rPr>
        <w:br/>
        <w:t xml:space="preserve">ingatlanadati kerültek felhasználásra, amely a 2022-es évre tartalmaz értékbecslési adatokat. A</w:t>
      </w:r>
      <w:r>
        <w:rPr>
          <w:color w:val="000000"/>
          <w:sz w:val="24"/>
          <w:szCs w:val="24"/>
        </w:rPr>
        <w:br/>
        <w:t xml:space="preserve">dolgozat módszertana lineáris regressziós becslés, melyben az interakció hatásának vizsgálata</w:t>
      </w:r>
      <w:r>
        <w:rPr>
          <w:color w:val="000000"/>
          <w:sz w:val="24"/>
          <w:szCs w:val="24"/>
        </w:rPr>
        <w:br/>
        <w:t xml:space="preserve">a különbségek különbsége módszerrel történt. A dolgozat eredményeként megállapítható, hogy</w:t>
      </w:r>
      <w:r>
        <w:rPr>
          <w:color w:val="000000"/>
          <w:sz w:val="24"/>
          <w:szCs w:val="24"/>
        </w:rPr>
        <w:br/>
        <w:t xml:space="preserve">az energiatanúsítványnak egyedi kategóriánkként és csoportosítva is jelentős hatása van az</w:t>
      </w:r>
      <w:r>
        <w:rPr>
          <w:color w:val="000000"/>
          <w:sz w:val="24"/>
          <w:szCs w:val="24"/>
        </w:rPr>
        <w:br/>
        <w:t xml:space="preserve">ingatlanok becsült piaci értékére, ami az átlagos energiafelhasználású épületekhez képest 5%</w:t>
      </w:r>
      <w:r>
        <w:rPr>
          <w:color w:val="000000"/>
          <w:sz w:val="24"/>
          <w:szCs w:val="24"/>
        </w:rPr>
        <w:br/>
        <w:t xml:space="preserve">os árprémiumot jelent a zöld otthonok esetében, valamint 15,3%-os átlagos árcsökkenést az</w:t>
      </w:r>
      <w:r>
        <w:rPr>
          <w:color w:val="000000"/>
          <w:sz w:val="24"/>
          <w:szCs w:val="24"/>
        </w:rPr>
        <w:br/>
        <w:t xml:space="preserve">energiapazarló ingatlanok esetében. A válságnak a legrosszabb besorolású ingatlanok esetén</w:t>
      </w:r>
      <w:r>
        <w:rPr>
          <w:color w:val="000000"/>
          <w:sz w:val="24"/>
          <w:szCs w:val="24"/>
        </w:rPr>
        <w:br/>
        <w:t xml:space="preserve">lett szignifikáns, 7,36%-os kereszthatása, ami összességében több, mint 1%-os árcsökkenést</w:t>
      </w:r>
      <w:r>
        <w:rPr>
          <w:color w:val="000000"/>
          <w:sz w:val="24"/>
          <w:szCs w:val="24"/>
        </w:rPr>
        <w:br/>
        <w:t xml:space="preserve">eredményezett a válság előtti árszinthez képest. Ezek alapján megállapítható, hogy a</w:t>
      </w:r>
      <w:r>
        <w:rPr>
          <w:color w:val="000000"/>
          <w:sz w:val="24"/>
          <w:szCs w:val="24"/>
        </w:rPr>
        <w:br/>
        <w:t xml:space="preserve">fenntarthatóság az ingatlanpiac esetében is igen fontos tényezővé vált, amelyre az energiaválság</w:t>
      </w:r>
      <w:r>
        <w:rPr>
          <w:color w:val="000000"/>
          <w:sz w:val="24"/>
          <w:szCs w:val="24"/>
        </w:rPr>
        <w:br/>
        <w:t xml:space="preserve">hatása csak még jobban ráerősített, így Magyarország számára érdemes lehet az ingatlanok</w:t>
      </w:r>
      <w:r>
        <w:rPr>
          <w:color w:val="000000"/>
          <w:sz w:val="24"/>
          <w:szCs w:val="24"/>
        </w:rPr>
        <w:br/>
        <w:t xml:space="preserve">energetikai korszerűsítésének kérdésével mihamarabb foglalkozni.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65985">
    <w:multiLevelType w:val="hybridMultilevel"/>
    <w:lvl w:ilvl="0" w:tplc="88141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65985">
    <w:abstractNumId w:val="87365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492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