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DALMA ESZTER FEKETE</w:t>
            </w:r>
          </w:p>
          <w:p w:rsidR="00C275A3" w:rsidRDefault="00CA6B74" w:rsidP="00C275A3">
            <w:pPr>
              <w:pStyle w:val="Hallgatokepzes"/>
            </w:pPr>
            <w:r w:rsidRPr="001067CD">
              <w:rPr>
                <w:i/>
              </w:rPr>
              <w:t>dalmus111@gmail.com</w:t>
            </w:r>
            <w:r w:rsidRPr="001067CD">
              <w:rPr>
                <w:i/>
              </w:rPr>
              <w:br/>
            </w:r>
            <w:r w:rsidR="00A96AEC">
              <w:t>international economy and business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Eszter Baranyai</w:t>
            </w:r>
          </w:p>
          <w:p w:rsidR="00DB4822" w:rsidRDefault="00DB4822" w:rsidP="00BA6BAF">
            <w:pPr>
              <w:pStyle w:val="Konzulensektitulus"/>
            </w:pPr>
            <w:r w:rsidRPr="00DB4822">
              <w:t>senior researcher,  Central Bank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efficiency above all? The impact of the energy crisis on real estate prices and energy certificates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housing market, energy crisis, sustainability, energy performance certificate</w:t>
      </w:r>
      <w:r>
        <w:t xml:space="preserve"/>
      </w:r>
    </w:p>
    <w:p>
      <w:pPr>
        <w:widowControl w:val="on"/>
        <w:pBdr/>
        <w:spacing w:before="240" w:after="240" w:line="240" w:lineRule="auto"/>
        <w:ind w:left="0" w:right="0"/>
        <w:jc w:val="left"/>
      </w:pPr>
      <w:r>
        <w:rPr>
          <w:color w:val="000000"/>
          <w:sz w:val="24"/>
          <w:szCs w:val="24"/>
        </w:rPr>
        <w:br/>
        <w:t xml:space="preserve">The purpose of this paper is to examine the impact of energy performance certificates and the energy crisis on real estate prices. The research question is whether energy certificates influence real estate prices in Hungary and whether the 2022 energy crisis has an effect on this relationship. Based on the existing literature, the study formulates two hypotheses: (H1) energy certificates have a significantly positive impact on real estate prices, and (H2) the energy crisis has a significant interaction effect on the role of energy performance certificates. The study uses real estate data from a Hungarian commercial bank's mortgage database, containing valuation data for 2022. The methodology involves linear regression analysis, examining interaction effects using the difference-in-differences approach. The results show that energy performance certificates significantly affect estimated market values both individually and grouped into categories. Compared to buildings with average energy consumption, green houses achieve a 5% price premium, while energy-wasting properties experience an average price reduction of 15.3%. The crisis had a significant interaction effect of 7.36% on the lowest-rated properties, resulting in an overall price drop exceeding 1% compared to pre-crisis levels. These findings indicate that sustainability has become a crucial factor in the real estate market, and the energy crisis has further amplified its importance. Thus, it would be beneficial for Hungary to prioritize the energy modernization of buildings as soon as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09041">
    <w:multiLevelType w:val="hybridMultilevel"/>
    <w:lvl w:ilvl="0" w:tplc="47145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09041">
    <w:abstractNumId w:val="515090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0671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