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CSOBÁNCZI</w:t>
            </w:r>
          </w:p>
          <w:p w:rsidR="00C275A3" w:rsidRDefault="00CA6B74" w:rsidP="00C275A3">
            <w:pPr>
              <w:pStyle w:val="Hallgatokepzes"/>
            </w:pPr>
            <w:r w:rsidRPr="001067CD">
              <w:rPr>
                <w:i/>
              </w:rPr>
              <w:t>csobanczimate@gmail.com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Kristóf Lehmann</w:t>
            </w:r>
          </w:p>
          <w:p w:rsidR="00DB4822" w:rsidRDefault="00DB4822" w:rsidP="00BA6BAF">
            <w:pPr>
              <w:pStyle w:val="Konzulensektitulus"/>
            </w:pPr>
            <w:r w:rsidRPr="00DB4822">
              <w:t>associate professor ,  Central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Forint Exchange Rate On Hungarian Exports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exchange rate, forint, panel regression, export, interest rate pass-through</w:t>
      </w:r>
      <w:r>
        <w:t xml:space="preserve"/>
      </w:r>
    </w:p>
    <w:p>
      <w:pPr>
        <w:widowControl w:val="on"/>
        <w:pBdr/>
        <w:spacing w:before="240" w:after="240" w:line="240" w:lineRule="auto"/>
        <w:ind w:left="0" w:right="0"/>
        <w:jc w:val="left"/>
      </w:pPr>
      <w:r>
        <w:rPr>
          <w:color w:val="000000"/>
          <w:sz w:val="24"/>
          <w:szCs w:val="24"/>
        </w:rPr>
        <w:t xml:space="preserve">Global value chains are of growing importance. There is a large literature on how these complex production chains can hamper the responsiveness of exports to exchange rates. This may have important consequences for economies like Hungary's, which, due to their open structure, are substantially dependent on export developments. In my work, I sought to answer the question of the impact of the forint exchange rate on Hungarian exports. To examine this, I conducted panel regressions on Hungarian sectoral data. My results show that while exchange rate changes have a significant effect on export price developments, the same cannot be said for volumes. A depreciation (appreciation) of the forint decreases (increases) export prices in foreign currency but does not affect export volumes.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75599">
    <w:multiLevelType w:val="hybridMultilevel"/>
    <w:lvl w:ilvl="0" w:tplc="3871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75599">
    <w:abstractNumId w:val="75575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595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