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TILL GÁBOR</w:t>
            </w:r>
          </w:p>
          <w:p w:rsidR="00C275A3" w:rsidRDefault="00CA6B74" w:rsidP="00C275A3">
            <w:pPr>
              <w:pStyle w:val="Hallgatokepzes"/>
            </w:pPr>
            <w:r w:rsidRPr="001067CD">
              <w:rPr>
                <w:i/>
              </w:rPr>
              <w:t>gabort.255@gmail.com</w:t>
            </w:r>
            <w:r w:rsidRPr="001067CD">
              <w:rPr>
                <w:i/>
              </w:rPr>
              <w:br/>
            </w:r>
            <w:r w:rsidR="00A96AEC">
              <w:t>Nemzetközi gazdaság és gazdálkodás</w:t>
            </w:r>
            <w:r w:rsidR="00A96AEC">
              <w:br/>
            </w:r>
            <w:r w:rsidR="00E77B23">
              <w:t>MSc, 4. félév</w:t>
            </w:r>
          </w:p>
          <w:p w:rsidR="00C265CE" w:rsidRPr="009E5FF1" w:rsidRDefault="00E77B23" w:rsidP="00BA6BAF">
            <w:pPr>
              <w:pStyle w:val="Hallgatointezmeny-kar"/>
              <w:rPr>
                <w:b/>
                <w:caps/>
              </w:rPr>
            </w:pPr>
            <w:r>
              <w:t>Neumann János Egyetem</w:t>
            </w:r>
            <w:r w:rsidR="00C275A3">
              <w:br/>
            </w:r>
            <w:r w:rsidR="00DB4822">
              <w:t>Gazdaságtudományi Kar</w:t>
            </w:r>
          </w:p>
        </w:tc>
        <w:tc>
          <w:tcPr>
            <w:tcW w:w="4914" w:type="dxa"/>
          </w:tcPr>
          <w:p w:rsidR="00DB4822" w:rsidRPr="00DB4822" w:rsidRDefault="00DB4822" w:rsidP="004D7940">
            <w:pPr>
              <w:pStyle w:val="Hallgatonev"/>
              <w:rPr>
                <w:caps/>
              </w:rPr>
            </w:pPr>
            <w:r w:rsidRPr="00DB4822">
              <w:rPr>
                <w:caps/>
              </w:rPr>
              <w:t>TIMÁR BARNABÁS</w:t>
            </w:r>
          </w:p>
          <w:p w:rsidR="00DB4822" w:rsidRDefault="00CA6B74" w:rsidP="004D7940">
            <w:pPr>
              <w:pStyle w:val="Hallgatokepzes"/>
            </w:pPr>
            <w:r w:rsidRPr="001067CD">
              <w:rPr>
                <w:i/>
              </w:rPr>
              <w:t>tbarna119@gmail.com</w:t>
            </w:r>
            <w:bookmarkStart w:id="1" w:name="_GoBack"/>
            <w:bookmarkEnd w:id="1"/>
            <w:r w:rsidRPr="001067CD">
              <w:br/>
            </w:r>
            <w:r w:rsidR="00C275A3">
              <w:t>Nemzetközi gazdaság és gazdálkodás</w:t>
            </w:r>
            <w:r w:rsidR="00A96AEC">
              <w:br/>
              <w:t>MSc, 4. félév</w:t>
            </w:r>
          </w:p>
          <w:p w:rsidR="00DB4822" w:rsidRDefault="00DB4822" w:rsidP="004D7940">
            <w:pPr>
              <w:pStyle w:val="Hallgatointezmeny-kar"/>
            </w:pPr>
            <w:r>
              <w:t>Neumann János Egyetem</w:t>
            </w:r>
          </w:p>
          <w:p w:rsidR="00C265CE" w:rsidRPr="009E5FF1" w:rsidRDefault="00DB4822" w:rsidP="004D7940">
            <w:pPr>
              <w:pStyle w:val="Hallgatointezmeny-kar"/>
              <w:rPr>
                <w:b/>
                <w:caps/>
              </w:rPr>
            </w:pPr>
            <w:r>
              <w:t>Gazdaságtudományi Kar</w:t>
            </w:r>
          </w:p>
        </w:tc>
      </w:tr>
    </w:tbl>
    <w:bookmarkEnd w:id="0"/>
    <w:p w:rsidR="00E77B23" w:rsidRPr="00BA6BAF" w:rsidRDefault="00600471" w:rsidP="00BA6BAF">
      <w:pPr>
        <w:pStyle w:val="Konzulensekcimke"/>
      </w:pPr>
      <w:r w:rsidRPr="00BA6BAF">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Neszveda Gábor</w:t>
            </w:r>
          </w:p>
          <w:p w:rsidR="00DB4822" w:rsidRDefault="00DB4822" w:rsidP="00BA6BAF">
            <w:pPr>
              <w:pStyle w:val="Konzulensektitulus"/>
            </w:pPr>
            <w:r w:rsidRPr="00DB4822">
              <w:t>egyetemi docens, Magyar Nemzeti Bank Gazdaságtudományi ismeretterjesztési főosztályvezető, NJE</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Képesek-E a Nemesfémek és a Bitcoin Menedékeszköz Funkciók Betöltésére?</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menedékeszköz, válságállóság, nememsfémek, arany, Bitcoin</w:t>
      </w:r>
      <w:r>
        <w:t xml:space="preserve"/>
      </w:r>
    </w:p>
    <w:p>
      <w:pPr>
        <w:widowControl w:val="on"/>
        <w:pBdr/>
        <w:spacing w:before="240" w:after="240" w:line="240" w:lineRule="auto"/>
        <w:ind w:left="0" w:right="0"/>
        <w:jc w:val="left"/>
      </w:pPr>
      <w:r>
        <w:rPr>
          <w:color w:val="000000"/>
          <w:sz w:val="24"/>
          <w:szCs w:val="24"/>
        </w:rPr>
        <w:t xml:space="preserve">Ez a tanulmány a nemesfémek válságállóságának irodalmába illeszkedik. A nemzetközi irodalom alapján beszélhetünk a nemesfémek erős menedékeszköz funkciójáról, továbbá bizonyos nézetek ennél gyengébb hedge funkciókat vizsgálnak. A fogalmi eltérés a két csoport között abban rejlik, hogy az erős menedékeszközök funkcióval bíró nemesfémek árfolyamalakulása krízishelyzetek és megnövekedett piaci volatilitás idején ellentétes a hagyományos értékpapírpiaci eszközökétől, ezzel szemben a gyenge hedge funkcióval bíró nemesfémek válságok idején csak korrelálatlanok a részvénypiaci instrumentumoktól. A COVID-19 pandémia és geopolitikai konfliktusok miatt a befektetők számára ismét kiemelten jelentőségűvé vált a menedékeszközök megtalálása, így a téma nagy aktualitást nyert. A kutatás arra a kérdésre keresi a választ, hogy a legnépszerűbb nemesfémek (arany, ezüst, platina és réz) valamint a „digitális arany” – azaz a Bitcoin - mennyire tekinthetők az empirikus adatokat figyelembe véve menedékeszköznek. A szerzők a felállított hipotéziseket statisztikai és ökonometriai módszerekkel vizsgálják az 1990 és 2022 közti időszakban az amerikai részvénypiac és árutőzsde vonatkozásában. A nemesfémek és Bitcoin teljesítményét az S&amp;P 500 indexszel vetettük össze, amely megfelelő proxy-ként szolgál az aggregált amerikai részvénypiac árfolyamalakulásának megragadására, továbbá az index implicit volatilitása alapján (VIX) definiáltuk a válságidőszakokat is. Ezek alapján a 90’-es években tapasztalható recesszió, Dotcom válság, pénzügyi világválság (GFC) és koronavírus okozta recessziót vizsgáljuk külön részmintaként. A hipotéziseket gördülő korrelációval és eltérően specifikált Vektor Autoregresszív modellekkel (VAR) teszteltük, Granger okságot keresve. Az eredmények alapján az arany csak gyenge hedge és gyenge menedékeszköz funkcióval bír. Az ezüst, réz és platina egymáshoz hasonló mintázatokat mutatnak, de ezek a válság időszakokat figyelembe véve nem tekinthetők még gyenge hedge eszköznek sem. A Bitcoin árdinamikája a nemesfémekétől alapjaiban eltérő egyedi tulajdonságai okán, így a legnagyobb kapitalizációval bíró kriptopénzre új eszközosztályként tekintettünk, de hasonlóan az aranyhoz ez is csak a gyenge hedge és gyenge menedékeszköz funkciót volt képes betölteni az S&amp;P 500 indexszel szemben.</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8238054">
    <w:multiLevelType w:val="hybridMultilevel"/>
    <w:lvl w:ilvl="0" w:tplc="5985307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8238054">
    <w:abstractNumId w:val="4823805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6798059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