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GYÖNGYÖSI</w:t>
            </w:r>
          </w:p>
          <w:p w:rsidR="00C275A3" w:rsidRDefault="00CA6B74" w:rsidP="00C275A3">
            <w:pPr>
              <w:pStyle w:val="Hallgatokepzes"/>
            </w:pPr>
            <w:r w:rsidRPr="001067CD">
              <w:rPr>
                <w:i/>
              </w:rPr>
              <w:t>boglarkagyongyosi02@gmail.com</w:t>
            </w:r>
            <w:r w:rsidRPr="001067CD">
              <w:rPr>
                <w:i/>
              </w:rPr>
              <w:br/>
            </w:r>
            <w:r w:rsidR="00A96AEC">
              <w:t>International Security and Defence Policy</w:t>
            </w:r>
            <w:r w:rsidR="00A96AEC">
              <w:br/>
            </w:r>
            <w:r w:rsidR="00E77B23">
              <w:t>BA, 6.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Éva Jakusné Harnos</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Concept and Contemporary Interpretation of Propaganda in Hybrid Warfare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persuasion; hybrid threats; psychological warfare; propaganda history; strategic communication</w:t>
      </w:r>
      <w:r>
        <w:t xml:space="preserve"/>
      </w:r>
    </w:p>
    <w:p>
      <w:pPr>
        <w:widowControl w:val="on"/>
        <w:pBdr/>
        <w:spacing w:before="240" w:after="240" w:line="240" w:lineRule="auto"/>
        <w:ind w:left="0" w:right="0"/>
        <w:jc w:val="left"/>
      </w:pPr>
      <w:r>
        <w:rPr>
          <w:color w:val="000000"/>
          <w:sz w:val="24"/>
          <w:szCs w:val="24"/>
        </w:rPr>
        <w:t xml:space="preserve">The Russian-Ukrainian war that began on 24 February 2022 will fundamentally change Europe's perception of security. As the events of the time of writing are being broadcast digitally with exceptional intensity, we are witnessing the bloodiest armed conflict in Europe since the Second World War.</w:t>
      </w:r>
      <w:r>
        <w:rPr>
          <w:color w:val="000000"/>
          <w:sz w:val="24"/>
          <w:szCs w:val="24"/>
        </w:rPr>
        <w:br/>
        <w:t xml:space="preserve">In my research, by examining the characteristics of influence and hybrid operations, my aim was to help define more precisely the concepts of propaganda and hybrid warfare and to better understand the tools of both phenomena. By examining the events of the Russian-Ukrainian war, I conducted a case study, thus using an empirical research method to investigate the issues raised in my research questions. In addition, I used Jacques Ellul's Propaganda: The Formation of Men's Attitudes as a methodological framework, based on his typology of propaganda, to establish the relevance of each type to war propaganda and to draw the conclusions I considered through examples of specific events and characteristics of the war in Ukraine. I have also examined the emergence of pre-propaganda and its characteristics about the current war, based on which I have established that pre-propaganda is present and was present in the pre-war period, as well as all three of its main elements, which were used by both sides to influence their target audiences.</w:t>
      </w:r>
      <w:r>
        <w:rPr>
          <w:color w:val="000000"/>
          <w:sz w:val="24"/>
          <w:szCs w:val="24"/>
        </w:rPr>
        <w:br/>
        <w:t xml:space="preserve">In conclusion, I was able to state that hybrid warfare, including influence activities, is present in the Russia-Ukraine war. Both sides are playing their part in these operations. Through the global dissemination of their different points of view, their propaganda activities are spreading in both the informational and cognitive dimensions. The new element of propaganda that is striking specifically about this war is the use of modern technological methods of influence. Indeed, the communication channel cited by social media allows for the continuous monitoring and surveillance of real Internet users. In this way, the impact of targeted messages can be increased, and agitation, i.e. a heightened emotional state, can be induced so that the propagandist can create a uniform attitude at a cognitive level. Based on these factors, I have therefore identified that propaganda has changed both in terms of its means and its application. And this 'changing' concept of propaganda can be placed within the contemporary concept of hybrid operations.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41851">
    <w:multiLevelType w:val="hybridMultilevel"/>
    <w:lvl w:ilvl="0" w:tplc="30302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41851">
    <w:abstractNumId w:val="85141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492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