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COADĂ CLAUDIA - ROXANA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coadasfclaudiaroxa@uni.sapientia.ro</w:t>
            </w:r>
            <w:r w:rsidRPr="001067CD">
              <w:rPr>
                <w:i/>
              </w:rPr>
              <w:br/>
            </w:r>
            <w:r w:rsidR="00A96AEC">
              <w:t>Világ- és összehasonlító irodalom, angol nyelv és irodalom 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Mihály Vilma-Irén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hős metamorfózisa - Meg Cabot Elhagyatva című trilógiájának intertextuális vizsgálata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intertextuality; metamorphosis; hero; heroine; journey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According to Julia Kristeva, literary works belong to an aesthetic timeline. Art and</w:t>
      </w:r>
      <w:r>
        <w:rPr>
          <w:color w:val="000000"/>
          <w:sz w:val="24"/>
          <w:szCs w:val="24"/>
        </w:rPr>
        <w:br/>
        <w:t xml:space="preserve">within it, literature in a narrower sense, is a dynamic dimension, a living and changing system, in</w:t>
      </w:r>
      <w:r>
        <w:rPr>
          <w:color w:val="000000"/>
          <w:sz w:val="24"/>
          <w:szCs w:val="24"/>
        </w:rPr>
        <w:br/>
        <w:t xml:space="preserve">which every piece has its own unique, but also similar elements. This is what we should call the</w:t>
      </w:r>
      <w:r>
        <w:rPr>
          <w:color w:val="000000"/>
          <w:sz w:val="24"/>
          <w:szCs w:val="24"/>
        </w:rPr>
        <w:br/>
        <w:t xml:space="preserve">togetherness of universal art, that is intertextuality. (1986, 36)</w:t>
      </w:r>
      <w:r>
        <w:rPr>
          <w:color w:val="000000"/>
          <w:sz w:val="24"/>
          <w:szCs w:val="24"/>
        </w:rPr>
        <w:br/>
        <w:t xml:space="preserve">Relying on Kristeva and Genette’s concepts on the cross-textual features of literature, in</w:t>
      </w:r>
      <w:r>
        <w:rPr>
          <w:color w:val="000000"/>
          <w:sz w:val="24"/>
          <w:szCs w:val="24"/>
        </w:rPr>
        <w:br/>
        <w:t xml:space="preserve">the present paper I would like to examine Meg Cabot’s trilogy entitled Abandon and map the</w:t>
      </w:r>
      <w:r>
        <w:rPr>
          <w:color w:val="000000"/>
          <w:sz w:val="24"/>
          <w:szCs w:val="24"/>
        </w:rPr>
        <w:br/>
        <w:t xml:space="preserve">possible relations between her texts and the ancient Orphic myth and Dante’s epic poem Divine</w:t>
      </w:r>
      <w:r>
        <w:rPr>
          <w:color w:val="000000"/>
          <w:sz w:val="24"/>
          <w:szCs w:val="24"/>
        </w:rPr>
        <w:br/>
        <w:t xml:space="preserve">Comedy. My main attempt is to carry out an in-depth analysis of the route and metamorphosis of</w:t>
      </w:r>
      <w:r>
        <w:rPr>
          <w:color w:val="000000"/>
          <w:sz w:val="24"/>
          <w:szCs w:val="24"/>
        </w:rPr>
        <w:br/>
        <w:t xml:space="preserve">Cabot’s protagonists and explain the importance of intertextuality in relation to character</w:t>
      </w:r>
      <w:r>
        <w:rPr>
          <w:color w:val="000000"/>
          <w:sz w:val="24"/>
          <w:szCs w:val="24"/>
        </w:rPr>
        <w:br/>
        <w:t xml:space="preserve">development, sacrifice, fate, purpose and free will. Besides the intertextual features, the paper</w:t>
      </w:r>
      <w:r>
        <w:rPr>
          <w:color w:val="000000"/>
          <w:sz w:val="24"/>
          <w:szCs w:val="24"/>
        </w:rPr>
        <w:br/>
        <w:t xml:space="preserve">makes use of the feminist view upon the fate of female individuals. While focusing on both the</w:t>
      </w:r>
      <w:r>
        <w:rPr>
          <w:color w:val="000000"/>
          <w:sz w:val="24"/>
          <w:szCs w:val="24"/>
        </w:rPr>
        <w:br/>
        <w:t xml:space="preserve">hero and the heroine, breaking stereotypes and presenting a new interpretation of this heritage,</w:t>
      </w:r>
      <w:r>
        <w:rPr>
          <w:color w:val="000000"/>
          <w:sz w:val="24"/>
          <w:szCs w:val="24"/>
        </w:rPr>
        <w:br/>
        <w:t xml:space="preserve">we shall be able to see how easily roles can change and be reshaped, yet the link between old and</w:t>
      </w:r>
      <w:r>
        <w:rPr>
          <w:color w:val="000000"/>
          <w:sz w:val="24"/>
          <w:szCs w:val="24"/>
        </w:rPr>
        <w:br/>
        <w:t xml:space="preserve">new is still recognizable.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32330">
    <w:multiLevelType w:val="hybridMultilevel"/>
    <w:lvl w:ilvl="0" w:tplc="72596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32330">
    <w:abstractNumId w:val="919323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791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