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VERES-KUPÁN HUNOR</w:t>
            </w:r>
          </w:p>
          <w:p w:rsidR="00C275A3" w:rsidRDefault="00CA6B74" w:rsidP="00C275A3">
            <w:pPr>
              <w:pStyle w:val="Hallgatokepzes"/>
            </w:pPr>
            <w:r w:rsidRPr="001067CD">
              <w:rPr>
                <w:i/>
              </w:rPr>
              <w:t>veres.k.hunor@gmail.com</w:t>
            </w:r>
            <w:r w:rsidRPr="001067CD">
              <w:rPr>
                <w:i/>
              </w:rPr>
              <w:br/>
            </w:r>
            <w:r w:rsidR="00A96AEC">
              <w:t>Jog</w:t>
            </w:r>
            <w:r w:rsidR="00A96AEC">
              <w:br/>
            </w:r>
            <w:r w:rsidR="00E77B23">
              <w:t>BSc, 4. félév</w:t>
            </w:r>
          </w:p>
          <w:p w:rsidR="00C265CE" w:rsidRPr="009E5FF1" w:rsidRDefault="00E77B23" w:rsidP="00BA6BAF">
            <w:pPr>
              <w:pStyle w:val="Hallgatointezmeny-kar"/>
              <w:rPr>
                <w:b/>
                <w:caps/>
              </w:rPr>
            </w:pPr>
            <w:r>
              <w:t>Sapientia Erdélyi Magyar Tudományegyetem</w:t>
            </w:r>
            <w:r w:rsidR="00C275A3">
              <w:br/>
            </w:r>
            <w:r w:rsidR="00DB4822">
              <w:t>Kolozsvári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Kokoly Zsolt</w:t>
            </w:r>
          </w:p>
          <w:p w:rsidR="00DB4822" w:rsidRDefault="00DB4822" w:rsidP="00BA6BAF">
            <w:pPr>
              <w:pStyle w:val="Konzulensektitulus"/>
            </w:pPr>
            <w:r w:rsidRPr="00DB4822">
              <w:t>egyetemi adjunktus, RO EMTE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szabad véleménynyilvánításhoz és a méltósághoz való jog az online térben - A romániai ítélkezési gyakorlat egysége az Emberi Jogok Európai Bíróságának esetjoga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véleménynyilvánítás szabadsága;méltósághoz való jog;online kommunikáció;Emberi Jogok Európai Bírósága;belső joggyakorlat.</w:t>
      </w:r>
      <w:r>
        <w:t xml:space="preserve"/>
      </w:r>
    </w:p>
    <w:p>
      <w:pPr>
        <w:widowControl w:val="on"/>
        <w:pBdr/>
        <w:spacing w:before="240" w:after="240" w:line="240" w:lineRule="auto"/>
        <w:ind w:left="0" w:right="0"/>
        <w:jc w:val="left"/>
      </w:pPr>
      <w:r>
        <w:rPr>
          <w:color w:val="000000"/>
          <w:sz w:val="24"/>
          <w:szCs w:val="24"/>
        </w:rPr>
        <w:t xml:space="preserve">Vitathatatlan tény, hogy a rohamosan fejlődő infokommunikációs technológiának köszönhetően napjainkban az online tér és a közösségi média jelenti a véleménynyilvánítás fő formáját.</w:t>
      </w:r>
    </w:p>
    <w:p>
      <w:pPr>
        <w:widowControl w:val="on"/>
        <w:pBdr/>
        <w:spacing w:before="240" w:after="240" w:line="240" w:lineRule="auto"/>
        <w:ind w:left="0" w:right="0"/>
        <w:jc w:val="left"/>
      </w:pPr>
      <w:r>
        <w:rPr>
          <w:color w:val="000000"/>
          <w:sz w:val="24"/>
          <w:szCs w:val="24"/>
        </w:rPr>
        <w:t xml:space="preserve">A változások következtében egyre nagyobb számban kerülnek a nemzeti bíróságok elé olyan esetek, amelyekben a szabad véleménynyilvánításhoz való jog és méltósághoz való jog az internet világában szembekerül egymással, így fokozott jelentősége van annak, hogy az igazságszolgáltatás olyan egységes ítélkezési gyakorlatot tudjon felmutatni, ami összhangban van az Emberi Jogok Európai Bírósága (továbbiakban: EJEB) által kialakított esetjoggal, elkerülve ezáltal a későbbi elmarasztaló ítéleteket.</w:t>
      </w:r>
    </w:p>
    <w:p>
      <w:pPr>
        <w:widowControl w:val="on"/>
        <w:pBdr/>
        <w:spacing w:before="240" w:after="240" w:line="240" w:lineRule="auto"/>
        <w:ind w:left="0" w:right="0"/>
        <w:jc w:val="left"/>
      </w:pPr>
      <w:r>
        <w:rPr>
          <w:color w:val="000000"/>
          <w:sz w:val="24"/>
          <w:szCs w:val="24"/>
        </w:rPr>
        <w:t xml:space="preserve">Kutatásom célja, hogy bemutassam a két konkurens személyiségi jog online térben történő ütközése szempontjából releváns EJEB határozatokat, majd az ezek által kialakított követelmények alapján vizsgáljam meg a romániai ítélkezési gyakorlat által adott válaszokat és a konkrét ítéletek összhangját.</w:t>
      </w:r>
    </w:p>
    <w:p>
      <w:pPr>
        <w:widowControl w:val="on"/>
        <w:pBdr/>
        <w:spacing w:before="240" w:after="240" w:line="240" w:lineRule="auto"/>
        <w:ind w:left="0" w:right="0"/>
        <w:jc w:val="left"/>
      </w:pPr>
      <w:r>
        <w:rPr>
          <w:color w:val="000000"/>
          <w:sz w:val="24"/>
          <w:szCs w:val="24"/>
        </w:rPr>
        <w:t xml:space="preserve">A megvizsgált EJEB határozatok és romániai jogesetek alapján megállapítható, hogy a román jogalkalmazók többsége követi a szerződéses standardokat és az EJEB joggyakorlatát, azonban bizonyos esetekben továbbra is problémák merülnek fel a joggyakorlat értelmezése és alkalmazása szempontjából, ami részben annak tudható be, hogy az új formákat öltő véleményformálás esetében még az EJEB-nek sincs teljesen kiforrott ítélkezési gyakorlata. A megállapított hiányosságok orvoslása szempontjából megoldást jelenthet az Emberi Jogok Európai Egyezményének 16. Kiegészítő Jegyzőkönyve, mely Románia esetében 2023.01.01-én lépett hatályba.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52694">
    <w:multiLevelType w:val="hybridMultilevel"/>
    <w:lvl w:ilvl="0" w:tplc="49125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52694">
    <w:abstractNumId w:val="96352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64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