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LILLA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varga-lilla@partium.ro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Nőkép a kommunista Romániában. Miről árulkodnak a Dolgozó Nő folyóirat címlapjai 1954 és 1990 között?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nemi szerepek; kommunizmus; nőkép; havilap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alapos önvizsgálat eredményeként feltehetőleg egy olyan kor mintáit is felfedezzük magunkban, amelyet mi csupán a szüleink és nagyszüleink történetein keresztül ismerhettünk meg. Az elsődleges szocializációs csoporttól útravalóul kapott cselekvési minták és értékrendszer felismerése izgalmas társadalomismereti és egyben önismereti folyamat is.</w:t>
      </w:r>
      <w:r>
        <w:rPr>
          <w:color w:val="000000"/>
          <w:sz w:val="24"/>
          <w:szCs w:val="24"/>
        </w:rPr>
        <w:br/>
        <w:t xml:space="preserve">Jelen kutatás elsősorban a kommunista sajtó által megfogalmazott nőképre fókuszál a Dolgozó Nő 1954–1990 között megjelent lapszámainak borítóin keresztül. A vizsgálat a mintába került 75 címlapot ezen túlmenően politikai-társadalmi kontextusba is helyezi a képelemzés során beazonosított nőképeket: bemutatja, hogyan alakult az évek során a nők reprezentációja a mindenkori politikai vezetés alatt. Míg a kezdeti időszakban a nevelő szerepek domináltak (anya, pedagógus), addig a későbbi években, a Ceaușescu-rezsim alatt az értelmiségi, a modern és divatos nő alakja kapott hangsúlyt, és a várthoz képest a háziasszony karaktere egyáltalán, az anyáé pedig jelentősen ritkábban fordul elő. Az utolsó évfolyamból vizsgált címlapok már egy szabad, bizakodó közhangulatról árulkodnak, ahol a fókusz már inkább a közösségen van az egyén helyett.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29783">
    <w:multiLevelType w:val="hybridMultilevel"/>
    <w:lvl w:ilvl="0" w:tplc="96769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29783">
    <w:abstractNumId w:val="714297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678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