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LÉNA BARLOG</w:t>
            </w:r>
          </w:p>
          <w:p w:rsidR="00C275A3" w:rsidRDefault="00CA6B74" w:rsidP="00C275A3">
            <w:pPr>
              <w:pStyle w:val="Hallgatokepzes"/>
            </w:pPr>
            <w:r w:rsidRPr="001067CD">
              <w:rPr>
                <w:i/>
              </w:rPr>
              <w:t>lencsi.barlog@gmail.com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Gébert</w:t>
            </w:r>
          </w:p>
          <w:p w:rsidR="00DB4822" w:rsidRDefault="00DB4822" w:rsidP="00BA6BAF">
            <w:pPr>
              <w:pStyle w:val="Konzulensektitulus"/>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dark side of microfinance An analysis of microfinance in Sri Lanka using the capability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Microcredit; conversation factors; women; exploitation; freedom.</w:t>
      </w:r>
      <w:r>
        <w:t xml:space="preserve"/>
      </w:r>
    </w:p>
    <w:p>
      <w:pPr>
        <w:widowControl w:val="on"/>
        <w:pBdr/>
        <w:spacing w:before="240" w:after="240" w:line="240" w:lineRule="auto"/>
        <w:ind w:left="0" w:right="0"/>
        <w:jc w:val="left"/>
      </w:pPr>
      <w:r>
        <w:rPr>
          <w:color w:val="000000"/>
          <w:sz w:val="24"/>
          <w:szCs w:val="24"/>
        </w:rPr>
        <w:t xml:space="preserve">As a tool, microfinance offers a wealth of opportunities based on the capability approach, whereby borrowers can expand their freedom and participate in promoting capabilities that are of real value to them. But it does not always expand freedom, and in fact reduces it, because of conversion factors. In my thesis, I analyse the microcredit crisis in Sri Lanka, which hit the island nation between 2018 and 2022, and which has put women, the main target group of microfinance institutions, in a position where many of them became victims of harassment The capability approach can be used as an assessment tool to discuss poverty and social issues, which is why I have applied it to analyse the microcredit crisis in Sri Lanka. Drawing on the literature, press materials and interviews, I will describe the capabilities that microcredit borrowing enables and the capabilities that it removes in the context of the Sri Lankan crisis, as well as the conversion factors. My research aims to focus on the dark side of microfinance rather than the positive side, and to show the hardships that women who have been exploited by microfinance institutions have had to go through. My results show that microcredit in Sri Lanka has not been able to provide positive opportunities, but has deprived families of many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67721">
    <w:multiLevelType w:val="hybridMultilevel"/>
    <w:lvl w:ilvl="0" w:tplc="68759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67721">
    <w:abstractNumId w:val="66167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096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