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KONTRA</w:t>
            </w:r>
          </w:p>
          <w:p w:rsidR="00C275A3" w:rsidRDefault="00CA6B74" w:rsidP="00C275A3">
            <w:pPr>
              <w:pStyle w:val="Hallgatokepzes"/>
            </w:pPr>
            <w:r w:rsidRPr="001067CD">
              <w:rPr>
                <w:i/>
              </w:rPr>
              <w:t>kontra.anna.cecilia@gmail.com</w:t>
            </w:r>
            <w:r w:rsidRPr="001067CD">
              <w:rPr>
                <w:i/>
              </w:rPr>
              <w:br/>
            </w:r>
            <w:r w:rsidR="00A96AEC">
              <w:t>Marketing</w:t>
            </w:r>
            <w:r w:rsidR="00A96AEC">
              <w:br/>
            </w:r>
            <w:r w:rsidR="00E77B23">
              <w:t>MSc, 2. semester</w:t>
            </w:r>
          </w:p>
          <w:p w:rsidR="00C265CE" w:rsidRPr="009E5FF1" w:rsidRDefault="00E77B23" w:rsidP="00BA6BAF">
            <w:pPr>
              <w:pStyle w:val="Hallgatointezmeny-kar"/>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FANNI LILI SIPOS</w:t>
            </w:r>
          </w:p>
          <w:p w:rsidR="00DB4822" w:rsidRDefault="00CA6B74" w:rsidP="004D7940">
            <w:pPr>
              <w:pStyle w:val="Hallgatokepzes"/>
            </w:pPr>
            <w:r w:rsidRPr="001067CD">
              <w:rPr>
                <w:i/>
              </w:rPr>
              <w:t>siposfanni16@gmail.com</w:t>
            </w:r>
            <w:bookmarkStart w:id="1" w:name="_GoBack"/>
            <w:bookmarkEnd w:id="1"/>
            <w:r w:rsidRPr="001067CD">
              <w:br/>
            </w:r>
            <w:r w:rsidR="00C275A3">
              <w:t>Business Administration and Management</w:t>
            </w:r>
            <w:r w:rsidR="00A96AEC">
              <w:br/>
              <w:t>BSc, 5.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Economics and Business Administration</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Szabolcs Prónay</w:t>
            </w:r>
          </w:p>
          <w:p w:rsidR="00DB4822" w:rsidRDefault="00DB4822" w:rsidP="00BA6BAF">
            <w:pPr>
              <w:pStyle w:val="Konzulensektitulus"/>
            </w:pPr>
            <w:r w:rsidRPr="00DB4822">
              <w:t>associate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Tourism compass for Hungarian villages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city marketing; City Brands Index; rural development; Hungarian villages; tourism</w:t>
      </w:r>
      <w:r>
        <w:t xml:space="preserve"/>
      </w:r>
    </w:p>
    <w:p>
      <w:pPr>
        <w:widowControl w:val="on"/>
        <w:pBdr/>
        <w:spacing w:before="240" w:after="240" w:line="240" w:lineRule="auto"/>
        <w:ind w:left="0" w:right="0"/>
        <w:jc w:val="left"/>
      </w:pPr>
      <w:r>
        <w:rPr>
          <w:color w:val="000000"/>
          <w:sz w:val="24"/>
          <w:szCs w:val="24"/>
        </w:rPr>
        <w:t xml:space="preserve">With the creation and development of the Tourism Compass for Hungarian Villages model, my research colleague Fanni Lili Sipos and I would like to present an alternative for Hungarian villages through a relatively simple and easily interpretable framework, which takes into account the points of view of both the inhabitants and the leaders of the municipalities. Our model enables comparing several municipalities along 6 dimensions, identifying strengths and weaknesses in a complex way, finding similar and comparable villages and contrasting the evaluation of the inhabitants and the decision-makers. The 6 dimensions are:</w:t>
      </w:r>
    </w:p>
    <w:p>
      <w:pPr>
        <w:widowControl w:val="on"/>
        <w:pBdr/>
        <w:spacing w:before="240" w:after="240" w:line="240" w:lineRule="auto"/>
        <w:ind w:left="0" w:right="0"/>
        <w:jc w:val="left"/>
      </w:pPr>
      <w:r>
        <w:rPr>
          <w:color w:val="000000"/>
          <w:sz w:val="24"/>
          <w:szCs w:val="24"/>
        </w:rPr>
        <w:t xml:space="preserve">1. People and communities</w:t>
      </w:r>
    </w:p>
    <w:p>
      <w:pPr>
        <w:widowControl w:val="on"/>
        <w:pBdr/>
        <w:spacing w:before="240" w:after="240" w:line="240" w:lineRule="auto"/>
        <w:ind w:left="0" w:right="0"/>
        <w:jc w:val="left"/>
      </w:pPr>
      <w:r>
        <w:rPr>
          <w:color w:val="000000"/>
          <w:sz w:val="24"/>
          <w:szCs w:val="24"/>
        </w:rPr>
        <w:t xml:space="preserve">2. Cultural events</w:t>
      </w:r>
    </w:p>
    <w:p>
      <w:pPr>
        <w:widowControl w:val="on"/>
        <w:pBdr/>
        <w:spacing w:before="240" w:after="240" w:line="240" w:lineRule="auto"/>
        <w:ind w:left="0" w:right="0"/>
        <w:jc w:val="left"/>
      </w:pPr>
      <w:r>
        <w:rPr>
          <w:color w:val="000000"/>
          <w:sz w:val="24"/>
          <w:szCs w:val="24"/>
        </w:rPr>
        <w:t xml:space="preserve">3. Gastronomy</w:t>
      </w:r>
    </w:p>
    <w:p>
      <w:pPr>
        <w:widowControl w:val="on"/>
        <w:pBdr/>
        <w:spacing w:before="240" w:after="240" w:line="240" w:lineRule="auto"/>
        <w:ind w:left="0" w:right="0"/>
        <w:jc w:val="left"/>
      </w:pPr>
      <w:r>
        <w:rPr>
          <w:color w:val="000000"/>
          <w:sz w:val="24"/>
          <w:szCs w:val="24"/>
        </w:rPr>
        <w:t xml:space="preserve">4. Recreational opportunities</w:t>
      </w:r>
    </w:p>
    <w:p>
      <w:pPr>
        <w:widowControl w:val="on"/>
        <w:pBdr/>
        <w:spacing w:before="240" w:after="240" w:line="240" w:lineRule="auto"/>
        <w:ind w:left="0" w:right="0"/>
        <w:jc w:val="left"/>
      </w:pPr>
      <w:r>
        <w:rPr>
          <w:color w:val="000000"/>
          <w:sz w:val="24"/>
          <w:szCs w:val="24"/>
        </w:rPr>
        <w:t xml:space="preserve">5. Accommodation</w:t>
      </w:r>
    </w:p>
    <w:p>
      <w:pPr>
        <w:widowControl w:val="on"/>
        <w:pBdr/>
        <w:spacing w:before="240" w:after="240" w:line="240" w:lineRule="auto"/>
        <w:ind w:left="0" w:right="0"/>
        <w:jc w:val="left"/>
      </w:pPr>
      <w:r>
        <w:rPr>
          <w:color w:val="000000"/>
          <w:sz w:val="24"/>
          <w:szCs w:val="24"/>
        </w:rPr>
        <w:t xml:space="preserve">6. Economic situation</w:t>
      </w:r>
    </w:p>
    <w:p>
      <w:pPr>
        <w:widowControl w:val="on"/>
        <w:pBdr/>
        <w:spacing w:before="240" w:after="240" w:line="240" w:lineRule="auto"/>
        <w:ind w:left="0" w:right="0"/>
        <w:jc w:val="left"/>
      </w:pPr>
      <w:r>
        <w:rPr>
          <w:color w:val="000000"/>
          <w:sz w:val="24"/>
          <w:szCs w:val="24"/>
        </w:rPr>
        <w:t xml:space="preserve">In this research, in addition to a detailed study of the academic literature, we present our model, its second version and the application of the validated model to the municipality of Algyő. Part of this research was conducted with the support of the New National Excellence Programme of the Ministry of Innovation and Technology.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251453">
    <w:multiLevelType w:val="hybridMultilevel"/>
    <w:lvl w:ilvl="0" w:tplc="163683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251453">
    <w:abstractNumId w:val="522514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25385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