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LEGRADI</w:t>
            </w:r>
          </w:p>
          <w:p w:rsidR="00C275A3" w:rsidRDefault="00CA6B74" w:rsidP="00C275A3">
            <w:pPr>
              <w:pStyle w:val="Hallgatokepzes"/>
            </w:pPr>
            <w:r w:rsidRPr="001067CD">
              <w:rPr>
                <w:i/>
              </w:rPr>
              <w:t>a.legradi1@gmail.com</w:t>
            </w:r>
            <w:r w:rsidRPr="001067CD">
              <w:rPr>
                <w:i/>
              </w:rPr>
              <w:br/>
            </w:r>
            <w:r w:rsidR="00A96AEC">
              <w:t>Leadership and Management</w:t>
            </w:r>
            <w:r w:rsidR="00A96AEC">
              <w:br/>
            </w:r>
            <w:r w:rsidR="00E77B23">
              <w:t>MSc,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Peter Moricz</w:t>
            </w:r>
          </w:p>
          <w:p w:rsidR="00DB4822" w:rsidRDefault="00DB4822" w:rsidP="00BA6BAF">
            <w:pPr>
              <w:pStyle w:val="Konzulensektitulus"/>
            </w:pPr>
            <w:r w:rsidRPr="00DB4822">
              <w:t>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potential of the Customer-to-manufacturer model in Hungary? – Case study from the perspective of eMAG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e-commerce; data-driven business models; customer-to-manufacturer model</w:t>
      </w:r>
      <w:r>
        <w:t xml:space="preserve"/>
      </w:r>
    </w:p>
    <w:p>
      <w:pPr>
        <w:widowControl w:val="on"/>
        <w:pBdr/>
        <w:spacing w:before="240" w:after="240" w:line="240" w:lineRule="auto"/>
        <w:ind w:left="0" w:right="0"/>
        <w:jc w:val="left"/>
      </w:pPr>
      <w:r>
        <w:rPr>
          <w:color w:val="000000"/>
          <w:sz w:val="24"/>
          <w:szCs w:val="24"/>
        </w:rPr>
        <w:t xml:space="preserve">The development of e-commerce has become increasingly dynamic in recent years, especially in China, where Pinduoduo and SHEIN introduced the Customer-to-Manufacturer (C2M) model. This model enables real-time transmission of customer-generated data from platforms to manufacturers, facilitating personalization, branding, and product development. As a result, these companies have successfully disrupted their sectors. However, the application of this model has not yet spread to other regions, including Hungary, nor has its feasibility been thoroughly studied.</w:t>
      </w:r>
    </w:p>
    <w:p>
      <w:pPr>
        <w:widowControl w:val="on"/>
        <w:pBdr/>
        <w:spacing w:before="240" w:after="240" w:line="240" w:lineRule="auto"/>
        <w:ind w:left="0" w:right="0"/>
        <w:jc w:val="left"/>
      </w:pPr>
      <w:r>
        <w:rPr>
          <w:color w:val="000000"/>
          <w:sz w:val="24"/>
          <w:szCs w:val="24"/>
        </w:rPr>
        <w:t xml:space="preserve">In my thesis, I investigate whether the C2M model could be viable in Hungary. The goal of my research is to explore whether Hungarian e-commerce players could implement this business model and identify the necessary changes to their current operations. I examine two research questions: first, whether the actions required for C2M implementation are feasible for eMAG, and second, how these actions can be applied to a selected manufacturing partner.</w:t>
      </w:r>
    </w:p>
    <w:p>
      <w:pPr>
        <w:widowControl w:val="on"/>
        <w:pBdr/>
        <w:spacing w:before="240" w:after="240" w:line="240" w:lineRule="auto"/>
        <w:ind w:left="0" w:right="0"/>
        <w:jc w:val="left"/>
      </w:pPr>
      <w:r>
        <w:rPr>
          <w:color w:val="000000"/>
          <w:sz w:val="24"/>
          <w:szCs w:val="24"/>
        </w:rPr>
        <w:t xml:space="preserve">Following the definition of customer-oriented business models and the C2M model, I developed an evaluation model to examine the dimensions of C2M implementation. These dimensions include expanding the scope of customer data, building IT infrastructure for data utilization, and establishing C2M services for manufacturing partners. I assessed the actions within each dimension using a priority-feasibility matrix from the perspectives of both eMAG and the manufacturer.</w:t>
      </w:r>
    </w:p>
    <w:p>
      <w:pPr>
        <w:widowControl w:val="on"/>
        <w:pBdr/>
        <w:spacing w:before="240" w:after="240" w:line="240" w:lineRule="auto"/>
        <w:ind w:left="0" w:right="0"/>
        <w:jc w:val="left"/>
      </w:pPr>
      <w:r>
        <w:rPr>
          <w:color w:val="000000"/>
          <w:sz w:val="24"/>
          <w:szCs w:val="24"/>
        </w:rPr>
        <w:t xml:space="preserve">The research results indicate that the C2M model is feasible for eMAG, but their business model needs to become data-driven. Expanding the scope of customer data and introducing C2M services would require minor modifications. However, critical points include API development and the establishment of data utilization infrastructure, as eMAG currently does not fully leverage the data generated on its platform and lacks the necessary organizational resources. Additionally, API development, essential for automated manufacturing connections, is challenging to implement on the partner’s side.</w:t>
      </w:r>
    </w:p>
    <w:p>
      <w:pPr>
        <w:widowControl w:val="on"/>
        <w:pBdr/>
        <w:spacing w:before="240" w:after="240" w:line="240" w:lineRule="auto"/>
        <w:ind w:left="0" w:right="0"/>
        <w:jc w:val="left"/>
      </w:pPr>
      <w:r>
        <w:rPr>
          <w:color w:val="000000"/>
          <w:sz w:val="24"/>
          <w:szCs w:val="24"/>
        </w:rPr>
        <w:t xml:space="preserve">To address these challenges, I have proposed recommendations to support the adaptation of the C2M model in Hungary and to enhance the technological readiness of manufacturing partners.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46183">
    <w:multiLevelType w:val="hybridMultilevel"/>
    <w:lvl w:ilvl="0" w:tplc="69623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46183">
    <w:abstractNumId w:val="79546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373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