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NAGY</w:t>
            </w:r>
          </w:p>
          <w:p w:rsidR="00C275A3" w:rsidRDefault="00CA6B74" w:rsidP="00C275A3">
            <w:pPr>
              <w:pStyle w:val="Hallgatokepzes"/>
            </w:pPr>
            <w:r w:rsidRPr="001067CD">
              <w:rPr>
                <w:i/>
              </w:rPr>
              <w:t>nagymarton000@gmail.com</w:t>
            </w:r>
            <w:r w:rsidRPr="001067CD">
              <w:rPr>
                <w:i/>
              </w:rPr>
              <w:br/>
            </w:r>
            <w:r w:rsidR="00A96AEC">
              <w:t>international business economics</w:t>
            </w:r>
            <w:r w:rsidR="00A96AEC">
              <w:br/>
            </w:r>
            <w:r w:rsidR="00E77B23">
              <w:t>BSc, 6.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Gergő Medve-Bálint</w:t>
            </w:r>
          </w:p>
          <w:p w:rsidR="00DB4822" w:rsidRDefault="00DB4822" w:rsidP="00BA6BAF">
            <w:pPr>
              <w:pStyle w:val="Konzulensektitulus"/>
            </w:pPr>
            <w:r w:rsidRPr="00DB4822">
              <w:t>associate professor, BCE TK</w:t>
            </w:r>
          </w:p>
        </w:tc>
      </w:tr>
      <w:tr w:rsidR="00DB4822" w:rsidTr="00DB4822">
        <w:tc>
          <w:tcPr>
            <w:tcW w:w="9854" w:type="dxa"/>
          </w:tcPr>
          <w:p w:rsidR="00DB4822" w:rsidRPr="00DB4822" w:rsidRDefault="00DB4822" w:rsidP="00BA6BAF">
            <w:pPr>
              <w:pStyle w:val="Konzulenseknev"/>
            </w:pPr>
            <w:r w:rsidRPr="00DB4822">
              <w:t>Péter István Szánthó</w:t>
            </w:r>
          </w:p>
          <w:p w:rsidR="00DB4822" w:rsidRDefault="00DB4822" w:rsidP="00BA6BAF">
            <w:pPr>
              <w:pStyle w:val="Konzulensektitulus"/>
            </w:pPr>
            <w:r w:rsidRPr="00DB4822">
              <w:t>assistant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Well planned spending? Examining the fit of Member States’ RRF plans to their relative development needs in the European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Recovery and Resilience Facility; RRF; European Union; resource allocation; relative development need</w:t>
      </w:r>
      <w:r>
        <w:t xml:space="preserve"/>
      </w:r>
    </w:p>
    <w:p>
      <w:pPr>
        <w:widowControl w:val="on"/>
        <w:pBdr/>
        <w:spacing w:before="240" w:after="240" w:line="240" w:lineRule="auto"/>
        <w:ind w:left="0" w:right="0"/>
        <w:jc w:val="left"/>
      </w:pPr>
      <w:r>
        <w:rPr>
          <w:color w:val="000000"/>
          <w:sz w:val="24"/>
          <w:szCs w:val="24"/>
        </w:rPr>
        <w:t xml:space="preserve">The European Union has created the Recovery and Resilience Facility (RRF) in response to the economic downturn caused by the COVID-19 pandemic. This paper examines the RRF in terms of the focus of Member States' resource allocation plans and whether these differ between the centre, the southern periphery and the eastern periphery; and whether Member States' resource allocation plans are consistent with their relative development needs. In order to answer these research questions, the paper conducts primary, quantitative research based on the methodological approach of Medve-Bálint (2018). The results of the analysis show that investments in physical infrastructure are over-prioritised in Member States' recovery and resilience building plans, while R&amp;D is under-prioritised. The paper concludes that resource allocation strategies are independent of the macro-region in which they are examined. The paper also shows that Member States' resource allocation plans are not matched to their relative development needs and reveals a negative relationship in the R&amp;D field. The results suggest that inappropriate resource allocation may result in a lower than projected stimulus effect of RRF resources. The results of the paper shed light on RRF resources from an empirical perspective, which has not been examined before, and allow for a comparison of RRF and Structural Funds resource allocation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97811">
    <w:multiLevelType w:val="hybridMultilevel"/>
    <w:lvl w:ilvl="0" w:tplc="16514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97811">
    <w:abstractNumId w:val="15697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553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