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TOPERCER</w:t>
            </w:r>
          </w:p>
          <w:p w:rsidR="00C275A3" w:rsidRDefault="00CA6B74" w:rsidP="00C275A3">
            <w:pPr>
              <w:pStyle w:val="Hallgatokepzes"/>
            </w:pPr>
            <w:r w:rsidRPr="001067CD">
              <w:rPr>
                <w:i/>
              </w:rPr>
              <w:t>topipeti@gmail.com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Zsuzsanna Marjainé Szerényi</w:t>
            </w:r>
          </w:p>
          <w:p w:rsidR="00DB4822" w:rsidRDefault="00DB4822" w:rsidP="00BA6BAF">
            <w:pPr>
              <w:pStyle w:val="Konzulensektitulus"/>
            </w:pPr>
            <w:r w:rsidRPr="00DB4822">
              <w:t>professor,  Corvinus University Department of Geography, Geoeconomy and Sustainable Development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degrowth theory contribute to local sustainability strategies? Analysis through the example of the Association of Hungarian Climate Friendly Municipalities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degrowth, sustainabilty, climate strategy</w:t>
      </w:r>
      <w:r>
        <w:t xml:space="preserve"/>
      </w:r>
    </w:p>
    <w:p>
      <w:pPr>
        <w:widowControl w:val="on"/>
        <w:pBdr/>
        <w:spacing w:before="240" w:after="240" w:line="240" w:lineRule="auto"/>
        <w:ind w:left="0" w:right="0"/>
        <w:jc w:val="left"/>
      </w:pPr>
      <w:r>
        <w:rPr>
          <w:color w:val="000000"/>
          <w:sz w:val="24"/>
          <w:szCs w:val="24"/>
        </w:rPr>
        <w:t xml:space="preserve">This paper explores the relevance of the degrowth theory in municipal sustainability strategies, using the example of the Association of Climate-Friendly Municipalities (Hungarian: KTSZ). It analyzes the 8R framework, which outlines the main principles of degrowth, examining how these principles are reflected in the sustainability approach of KTSZ and its member municipalities. Additionally, the paper investigates the potential applications, development opportunities, and limitations of interpreting and implementing degrowth concepts at the local level.</w:t>
      </w:r>
    </w:p>
    <w:p>
      <w:pPr>
        <w:widowControl w:val="on"/>
        <w:pBdr/>
        <w:spacing w:before="240" w:after="240" w:line="240" w:lineRule="auto"/>
        <w:ind w:left="0" w:right="0"/>
        <w:jc w:val="left"/>
      </w:pPr>
      <w:r>
        <w:rPr>
          <w:color w:val="000000"/>
          <w:sz w:val="24"/>
          <w:szCs w:val="24"/>
        </w:rPr>
        <w:t xml:space="preserve">The analysis is based on the climate strategies of 27 member municipalities of KTSZ, supplemented by interviews with climate coordinators from four municipalities of varying sizes. The findings suggest that while numerous elements of degrowth are evident in the sustainability strategies of KTSZ and its member municipalities -particularly in the areas of revaluating, reconceptualizing, and relocalizing- the theoretical aspects of degrowth do not manifest in their full generality within the studied municipalities. Nevertheless, the sustainability approaches characteristic of these climate strategies provide a strong foundation for promoting and integrating degrowth ideas into Hungarian settlements.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12566">
    <w:multiLevelType w:val="hybridMultilevel"/>
    <w:lvl w:ilvl="0" w:tplc="10306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12566">
    <w:abstractNumId w:val="56712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436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