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FENYVES</w:t>
            </w:r>
          </w:p>
          <w:p w:rsidR="00C275A3" w:rsidRDefault="00CA6B74" w:rsidP="00C275A3">
            <w:pPr>
              <w:pStyle w:val="Hallgatokepzes"/>
            </w:pPr>
            <w:r w:rsidRPr="001067CD">
              <w:rPr>
                <w:i/>
              </w:rPr>
              <w:t>fenyvesszabolcs@gmail.com</w:t>
            </w:r>
            <w:r w:rsidRPr="001067CD">
              <w:rPr>
                <w:i/>
              </w:rPr>
              <w:br/>
            </w:r>
            <w:r w:rsidR="00A96AEC">
              <w:t>Business Administration and Management</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Mánuel Mágó</w:t>
            </w:r>
          </w:p>
          <w:p w:rsidR="00DB4822" w:rsidRDefault="00DB4822" w:rsidP="00BA6BAF">
            <w:pPr>
              <w:pStyle w:val="Konzulensektitulus"/>
            </w:pPr>
            <w:r w:rsidRPr="00DB4822">
              <w:t>senior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voting power of the member states in the European Parliament by using graph restricted cooperative games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graphs; cooperative games; game theory; Shapley; Banzhaf</w:t>
      </w:r>
      <w:r>
        <w:t xml:space="preserve"/>
      </w:r>
    </w:p>
    <w:p>
      <w:pPr>
        <w:widowControl w:val="on"/>
        <w:pBdr/>
        <w:spacing w:before="240" w:after="240" w:line="240" w:lineRule="auto"/>
        <w:ind w:left="0" w:right="0"/>
        <w:jc w:val="left"/>
      </w:pPr>
      <w:r>
        <w:rPr>
          <w:color w:val="000000"/>
          <w:sz w:val="24"/>
          <w:szCs w:val="24"/>
        </w:rPr>
        <w:t xml:space="preserve">The European Parliament (EP) currently consists of 751 Members of Parliament (MEPs), with seats allocated to member states proportionally to their population. In my research, I examine the voting power of member states within voting games, where coalition formation is constrained by graphs constructed based on six criteria. For each criterion, the graph was created by determining whether a connection exists between two countries based on their proximity calculated via the Euclidean distance of specific fundamental data. From political aspect, the similarities of the EP MEPs' party groupings by country were used as the basis. From economical respect, the proximity of the natural logarithms of countries’ GDP per capita for two years (2014 and 2019) was considered. Socially, the HDI indices of member states for the same two years served as input data. Geographically, the distance between the capitals of countries (in kilometers, as the crow flies) was used. From cultural aspect, the citizens' foreign language proficiency in each member state provided the primary data. The final criterion was religion, where the distribution of various religious affiliations in the countries was analyzed. In this paper, I first analyze the voting power of individual member states using the conventional methods mentioned in relevant literature (Shapley and Banzhaf values). Then, utilizing the graphs constructed based on the aforementioned criteria, I compute the Myerson value and the average connected contribution (ACC) of the member states for the original voting game constrained by these graphs, thereby determining how these criteria influence the voting power of the states. The main outcome of the thesis is the determination and comparison of voting power across both criteria and member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40013">
    <w:multiLevelType w:val="hybridMultilevel"/>
    <w:lvl w:ilvl="0" w:tplc="27812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40013">
    <w:abstractNumId w:val="64340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541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